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银川市信用评级报告(区域部分)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银川作为宁夏回族自治区首府，经济总量在宁夏回族自治区稳居第一，人均GDP约10.36万元、人均经济实力居全省前列，经济增速由7.30%回落至5.30%、有所放缓；固定资产投资最新增速转负（-3.30%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银川市2023、2024、2025年地区生产总值分别为2,881.42亿元、2,946.65亿元、3,033.52亿元，同比增长7.30%、5.50%、5.30%。截至2025年末，全市常住人口294.26万人，人均GDP约10.36万元。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产业结构方面，2025年银川市三次产业结构为3.4:45.7:50.9，以新材料、新能源、装备制造、现代化工为支柱，光伏材料产业较为突出。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2023、2024、2025年固定资产投资增速分别为8.50%、8.60%、-3.30%，2025年社会消费品零售总额844.28亿元，进出口总额16.12亿美元。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图表：2025年宁夏回族自治区各地级市主要经济指标对比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银川市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3,033.52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3.4:45.7:50.9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294.26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吴忠市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14.1:42:43.9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中卫市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14.9:30.5:54.6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石嘴山市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7.9:46.5:45.6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固原市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18.7:22.3:59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113.38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银川市2025年GDP总量3,033.52亿元、列全省第一位，一般公共预算收入209.70亿元、列全省第一位。整体来看，银川市经济基本面在宁夏回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银川市财政体量在宁夏回族自治区稳居第一，税收占比72.71%、税收质量较好，但政府性基金收入较2023年累计下降19%、土地财政贡献度弱化；2025年末宽口径债务率256.52%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银川市一般公共预算收入分别为197.76亿元、208.44亿元、209.70亿元，其中税收收入143.64亿元、146.16亿元、152.47亿元，税收占比维持在72.63%、70.12%、72.71%；一般公共预算支出438.15亿元、444.46亿元、440.75亿元，财政自给率45.14%、46.90%、47.58%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政府性基金收入方面，2023、2024、2025年分别为56.12亿元、49.87亿元、45.26亿元，政府性基金收入较2023年累计下降19%、土地财政贡献度弱化，反映地方综合财力对房地产周期的敞口。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图表：2023-2025年银川市财政收入情况(单位:亿元、%)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197.76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143.64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152.47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444.46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440.75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-0.83%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-9.24%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资料来源:银川市财政决算、企业预警通,风控信评部整理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土地市场方面，【待补充:银川市土地出让与房地产销售数据（土地市场数据库未覆盖该市）】。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银川市地方政府债务余额分别为779.92亿元、816.03亿元、969.85亿元，2025年末债务限额999.95亿元，债务余额控制在限额以内；城投有息债务2025年末估算余额271.13亿元。债务率指标看，2025年末政府债务率200.48%、城投债务率56.04%、宽口径债务率256.52%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银川市财政基本盘较为扎实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