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亳州市信用评级报告(区域部分)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亳州作为安徽省下辖地级市，经济总量列安徽省第七位，人均经济实力居省内中游，经济增速由6.40%回落至4.80%、有所放缓；固定资产投资最新增速转负（-6.40%），经济动能仍有待修复。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亳州市2023、2024、2025年地区生产总值分别为2,382.08亿元、2,521.63亿元、2,621.10亿元，同比增长6.40%、6.10%、4.80%。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产业结构方面，亳州作为安徽省下辖地级市，区域产业结构以本地优势产业为主。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2023、2024、2025年固定资产投资增速分别为10.50%、7.30%、-6.40%，2025年社会消费品零售总额1,415.60亿元，进出口总额5.30亿美元。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亳州市2025年GDP总量2,621.10亿元、列全省第七位，一般公共预算收入173.90亿元、列全省第十位。整体来看，亳州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亳州市财政体量在安徽省处于中游，税收占比52.34%、税收占比处于一般水平；2025年末宽口径债务率1292.59%、处于偏高水平，已显著高于公认的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亳州市一般公共预算收入分别为160.04亿元、168.84亿元、173.90亿元，其中税收收入98.25亿元、96.22亿元、91.01亿元，税收占比维持在61.39%、56.99%、52.34%；一般公共预算支出412.92亿元、416.44亿元、428.97亿元，财政自给率38.76%、40.54%、40.54%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图表：2023-2025年亳州市财政收入情况(单位:亿元、%)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416.44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428.97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资料来源:亳州市财政决算、企业预警通,风控信评部整理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土地市场方面，【待补充:亳州市土地出让与房地产销售数据（土地市场数据库未覆盖该市）】。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亳州市地方政府债务余额分别为986.04亿元、1,114.10亿元、1,217.60亿元，2025年末债务限额1,228.32亿元，债务余额控制在限额以内；城投有息债务2025年末估算余额1,030.25亿元。债务率指标看，2025年末政府债务率700.16%、城投债务率592.42%、宽口径债务率1292.59%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亳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