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六安市信用评级报告(区域部分)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六安作为安徽省下辖地级市，经济总量列安徽省第十位，人均经济实力居省内中游，经济增速由6.10%回落至5.40%、有所放缓；固定资产投资最新增速转负（-5.30%），经济动能仍有待修复。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六安市2023、2024、2025年地区生产总值分别为2,201.60亿元、2,307.50亿元、2,407.30亿元，同比增长6.10%、5.40%、5.40%。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产业结构方面，2025年六安市三次产业结构为11.9:35:53.1，第三产业占主导、服务业是经济主体。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2023、2024、2025年固定资产投资增速分别为9.00%、8.30%、-5.30%，2025年社会消费品零售总额1,277.80亿元，进出口总额11.11亿美元。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图表：2025年安徽省各地级市主要经济指标对比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合肥市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14,210.00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2.4:36.7:60.9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977.30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芜湖市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5,402.69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滁州市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4,221.10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3,777.60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11.3:29.7:59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安庆市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3,306.08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马鞍山市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2,920.90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3.9:41.3:54.8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225.60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亳州市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2,621.10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宿州市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2,538.40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14:30.1:55.9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151.37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蚌埠市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2,421.10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11.7:30.3:58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190.72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六安市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2,407.30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11.9:35:53.1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宣城市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2,148.60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8.7:43.1:48.2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200.10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1,750.10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淮北市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1,419.15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6.4:38:55.6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铜陵市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1,415.40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122.40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池州市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1,225.00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100.76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黄山市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1,204.90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7.1:31:61.9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87.70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六安市2025年GDP总量2,407.30亿元、列全省第十位，一般公共预算收入184.20亿元、列全省第九位。整体来看，六安市经济基本面在安徽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六安市财政体量在安徽省处于中游，税收占比59.19%、税收占比处于一般水平，但政府性基金收入较2023年累计下降52%、土地财政贡献度弱化；2025年末宽口径债务率903.40%、处于偏高水平，已显著高于公认的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六安市一般公共预算收入分别为173.61亿元、178.82亿元、184.20亿元，其中税收收入114.29亿元、106.22亿元、109.03亿元，税收占比维持在65.83%、59.40%、59.19%；一般公共预算支出608.88亿元、596.96亿元、587.34亿元，财政自给率28.51%、29.96%、31.36%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政府性基金收入方面，2023、2024、2025年分别为85.03亿元、56.34亿元、41.00亿元，政府性基金收入较2023年累计下降52%、土地财政贡献度弱化，反映地方综合财力对房地产周期的敞口。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图表：2023-2025年六安市财政收入情况(单位:亿元、%)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173.61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7.65%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178.82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3.01%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114.29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106.22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-7.06%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109.03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2.65%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65.83%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608.88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596.96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587.34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-1.61%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28.51%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29.96%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31.36%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85.03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56.34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-33.74%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41.00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-27.23%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资料来源:六安市财政决算、企业预警通,风控信评部整理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土地市场方面，【待补充:六安市土地出让与房地产销售数据（土地市场数据库未覆盖该市）】。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六安市地方政府债务余额分别为1,089.91亿元、1,238.40亿元、1,418.81亿元，2025年末债务限额1,437.24亿元，债务余额控制在限额以内；城投有息债务2025年末估算余额891.75亿元。债务率指标看，2025年末政府债务率554.73%、城投债务率348.66%、宽口径债务率903.40%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六安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