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合肥市信用评级报告(区域部分)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合肥作为安徽省省会，经济总量在安徽省稳居第一，人均经济实力居省内中游，经济增速维持在6.10%左右、总体平稳；固定资产投资最新增速转负（-16.50%），经济动能仍有待修复。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合肥市2023、2024、2025年地区生产总值分别为12,787.30亿元、13,507.69亿元、14,210.00亿元，同比增长5.90%、6.10%、6.10%。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产业结构方面，2025年合肥市三次产业结构为2.4:36.7:60.9，以新型显示、集成电路、新能源汽车、家电为支柱，聚集京东方、蔚来、大众安徽、科大讯飞等企业，“芯屏汽合”产业格局突出。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2023、2024、2025年固定资产投资增速分别为3.00%、3.30%、-16.50%，2025年社会消费品零售总额5,320.90亿元，进出口总额636.23亿美元。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图表：2025年安徽省各地级市主要经济指标对比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合肥市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2.4:36.7:60.9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芜湖市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5,402.69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滁州市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11.3:29.7:59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马鞍山市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3.9:41.3:54.8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14:30.1:55.9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蚌埠市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11.7:30.3:58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11.9:35:53.1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宣城市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6.4:38:55.6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铜陵市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7.1:31:61.9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合肥市2025年GDP总量14,210.00亿元、列全省第一位，一般公共预算收入977.30亿元、列全省第一位。整体来看，合肥市经济基本面在安徽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合肥市财政体量在安徽省稳居第一，税收占比71.44%、税收质量较好，但政府性基金收入较2023年累计下降39%、土地财政贡献度弱化；2025年末宽口径债务率591.64%、处于偏高水平，已显著高于公认的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合肥市一般公共预算收入分别为929.63亿元、955.01亿元、977.30亿元，其中税收收入674.03亿元、675.21亿元、698.20亿元，税收占比维持在72.51%、70.70%、71.44%；一般公共预算支出1,411.34亿元、1,581.10亿元、1,558.60亿元，财政自给率65.87%、60.40%、62.70%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政府性基金收入方面，2023、2024、2025年分别为652.26亿元、606.24亿元、396.10亿元，政府性基金收入较2023年累计下降39%、土地财政贡献度弱化，反映地方综合财力对房地产周期的敞口。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图表：2023-2025年合肥市财政收入情况(单位:亿元、%)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929.63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955.01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674.03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675.21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698.20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1,558.60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-1.42%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-34.66%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资料来源:合肥市财政决算、企业预警通,风控信评部整理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合肥市经营性用地成交价分别为898.12亿元、1,072.66亿元、649.14亿元、626.61亿元、324.02亿元，2025年较2021年下降63.92%；同期平均溢价率为14.44%、6.68%、11.79%、7.27%、1.65%；成交楼面均价由3,627元/㎡降至1,408元/㎡、累计下降61.18%。2026年1-4月，合肥市经营性用地累计成交84宗、规划建面429.01万㎡、成交价39.10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图表:2021-2025年合肥市土地出让情况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2,476.40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3,627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898.12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4,825.98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1,072.66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2,562.91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11.79%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649.14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1,928.81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3,249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626.61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2,300.46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324.02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429.01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39.10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合肥市商品住宅成交面积由939.87万㎡变动至225.82万㎡、累计下降76.0%；新房均价2025年为21,399元/㎡、较2023年高点(21,858元/㎡)累计下跌2.10%；2025年去化周期21.55个月。据中指冰山指数(最低挂牌价口径)，合肥二手房挂牌价较2021年8月高点累计下跌45.37%，2023年累计跌幅-11.65%、2024年累计跌幅-15.45%、2025年累计跌幅-21.83%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合肥市地方政府债务余额分别为2,259.16亿元、2,749.76亿元、3,194.76亿元，2025年末债务限额3,236.54亿元，债务余额控制在限额以内；城投有息债务2025年末估算余额5,504.09亿元。债务率指标看，2025年末政府债务率217.29%、城投债务率374.35%、宽口径债务率591.64%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合肥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