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宣城市信用评级报告(区域部分)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宣城作为安徽省下辖地级市，经济总量列安徽省第11位，人均经济实力居省内中游，经济增速维持在6.00%左右、总体平稳；固定资产投资最新增速转负（-5.30%），经济动能仍有待修复。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宣城市2023、2024、2025年地区生产总值分别为1,970.04亿元、2,053.50亿元、2,148.60亿元，同比增长5.90%、5.80%、6.00%。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产业结构方面，2025年宣城市三次产业结构为8.7:43.1:48.2，第三产业占主导、服务业是经济主体。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2023、2024、2025年固定资产投资增速分别为6.90%、6.50%、-5.30%，2025年社会消费品零售总额875.10亿元，进出口总额38.67亿美元。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图表：2025年安徽省各地级市主要经济指标对比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合肥市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14,210.00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2.4:36.7:60.9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977.30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芜湖市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5,402.69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439.60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滁州市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4,221.10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310.40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阜阳市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3,777.60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11.3:29.7:59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201.00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安庆市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3,306.08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210.50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马鞍山市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2,920.90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3.9:41.3:54.8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225.60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亳州市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2,621.10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173.90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宿州市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2,538.40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14:30.1:55.9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151.37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蚌埠市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2,421.10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11.7:30.3:58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190.72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六安市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2,407.30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11.9:35:53.1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184.20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宣城市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2,148.60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8.7:43.1:48.2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200.10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淮南市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1,750.10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139.00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淮北市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1,419.15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6.4:38:55.6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110.09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铜陵市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1,415.40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122.40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池州市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1,225.00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100.76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黄山市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1,204.90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7.1:31:61.9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87.70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宣城市2025年GDP总量2,148.60亿元、列全省第11位，一般公共预算收入200.10亿元、列全省第七位。整体来看，宣城市经济基本面在安徽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宣城市财政体量在安徽省处于中游，税收占比62.52%、税收质量较好，但政府性基金收入较2023年累计下降42%、土地财政贡献度弱化；2025年末宽口径债务率813.72%、处于偏高水平，已显著高于公认的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宣城市一般公共预算收入分别为197.90亿元、198.10亿元、200.10亿元，其中税收收入126.30亿元、125.10亿元、125.10亿元，税收占比维持在63.82%、63.15%、62.52%；一般公共预算支出368.40亿元、393.20亿元、377.00亿元，财政自给率53.72%、50.38%、53.08%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政府性基金收入方面，2023、2024、2025年分别为103.80亿元、88.00亿元、60.60亿元，政府性基金收入较2023年累计下降42%、土地财政贡献度弱化，反映地方综合财力对房地产周期的敞口。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图表：2023-2025年宣城市财政收入情况(单位:亿元、%)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197.90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198.10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200.10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1.01%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126.30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125.10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-0.95%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125.10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0.00%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63.82%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63.15%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62.52%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368.40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393.20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6.73%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377.00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-4.12%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53.72%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50.38%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53.08%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103.80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88.00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-15.22%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-31.14%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资料来源:宣城市财政决算、企业预警通,风控信评部整理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土地市场方面，【待补充:宣城市土地出让与房地产销售数据（土地市场数据库未覆盖该市）】。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宣城市地方政府债务余额分别为676.72亿元、784.28亿元、921.50亿元，2025年末债务限额933.20亿元，债务余额控制在限额以内；城投有息债务2025年末估算余额1,364.24亿元。债务率指标看，2025年末政府债务率328.05%、城投债务率485.67%、宽口径债务率813.72%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宣城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