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宿州市信用评级报告(区域部分)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宿州作为安徽省下辖地级市，经济总量列安徽省第八位，人均GDP约4.90万元、人均经济实力在省内相对靠后，经济增速由5.90%回落至4.70%、有所放缓；固定资产投资最新增速转负（-22.80%），经济动能仍有待修复。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宿州市2023、2024、2025年地区生产总值分别为2,364.69亿元、2,457.26亿元、2,538.40亿元，同比增长5.90%、5.10%、4.70%。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产业结构方面，2025年宿州市三次产业结构为14:30.1:55.9，第三产业占主导、服务业是经济主体。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2023、2024、2025年固定资产投资增速分别为8.00%、7.20%、-22.80%，2025年社会消费品零售总额1,393.00亿元，进出口总额11.20亿美元。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宿州市2025年GDP总量2,538.40亿元、列全省第八位，一般公共预算收入151.37亿元、列全省第11位。整体来看，宿州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宿州市财政体量在安徽省处于中游，税收占比—、税收占比处于一般水平，但政府性基金收入较2023年累计下降45%、土地财政贡献度弱化；2025年末宽口径债务率1025.91%、处于偏高水平，已显著高于公认的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宿州市一般公共预算收入分别为161.76亿元、162.48亿元、151.37亿元，其中税收收入89.40亿元、81.10亿元、—亿元，税收占比维持在55.27%、49.91%、—；一般公共预算支出501.97亿元、489.81亿元、471.11亿元，财政自给率32.23%、33.17%、32.13%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政府性基金收入方面，2023、2024、2025年分别为112.35亿元、80.64亿元、61.81亿元，政府性基金收入较2023年累计下降45%、土地财政贡献度弱化，反映地方综合财力对房地产周期的敞口。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图表：2023-2025年宿州市财政收入情况(单位:亿元、%)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-6.84%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-23.35%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资料来源:宿州市财政决算、企业预警通,风控信评部整理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土地市场方面，【待补充:宿州市土地出让与房地产销售数据（土地市场数据库未覆盖该市）】。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宿州市地方政府债务余额分别为848.24亿元、980.78亿元、1,111.22亿元，2025年末债务限额1,130.51亿元，债务余额控制在限额以内；城投有息债务2025年末估算余额1,110.40亿元。债务率指标看，2025年末政府债务率513.15%、城投债务率512.77%、宽口径债务率1025.91%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宿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