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淮北市信用评级报告(区域部分)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淮北作为安徽省下辖地级市，经济总量列安徽省第13位，人均经济实力居省内中游，经济增速由5.40%回落至2.80%、有所放缓；固定资产投资连续负增长（最新-22.60%），经济动能仍有待修复。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淮北市2023、2024、2025年地区生产总值分别为1,368.97亿元、1,405.89亿元、1,419.15亿元，同比增长5.40%、4.00%、2.80%。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产业结构方面，2025年淮北市三次产业结构为6.4:38:55.6，第三产业占主导、服务业是经济主体。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2023、2024、2025年固定资产投资增速分别为3.00%、-14.30%、-22.60%，2025年社会消费品零售总额520.70亿元，进出口总额14.00亿美元。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淮北市2025年GDP总量1,419.15亿元、列全省第13位，一般公共预算收入110.09亿元、列全省第14位。整体来看，淮北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淮北市财政体量在安徽省处于中游，税收占比63.79%、税收质量较好；2025年末宽口径债务率1389.50%、处于偏高水平，已显著高于公认的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淮北市一般公共预算收入分别为104.83亿元、108.89亿元、110.09亿元，其中税收收入77.13亿元、78.10亿元、70.23亿元，税收占比维持在73.57%、71.73%、63.79%；一般公共预算支出226.99亿元、221.96亿元、227.69亿元，财政自给率46.18%、49.06%、48.35%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图表：2023-2025年淮北市财政收入情况(单位:亿元、%)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资料来源:淮北市财政决算、企业预警通,风控信评部整理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土地市场方面，【待补充:淮北市土地出让与房地产销售数据（土地市场数据库未覆盖该市）】。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淮北市地方政府债务余额分别为359.14亿元、444.22亿元、556.12亿元，2025年末债务限额560.72亿元，债务余额控制在限额以内；城投有息债务2025年末估算余额973.58亿元。债务率指标看，2025年末政府债务率505.15%、城投债务率884.35%、宽口径债务率1389.50%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淮北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