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淮南市信用评级报告(区域部分)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淮南作为安徽省下辖地级市，经济总量列安徽省第12位，人均经济实力居省内中游，经济增速由5.20%回落至4.60%、有所放缓；固定资产投资最新增速转负（-0.60%），经济动能仍有待修复。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淮南市2023、2024、2025年地区生产总值分别为1,659.00亿元、1,716.40亿元、1,750.10亿元，同比增长5.20%、5.00%、4.60%。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产业结构方面，淮南作为安徽省下辖地级市，区域产业结构以本地优势产业为主。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2023、2024、2025年固定资产投资增速分别为7.20%、7.80%、-0.60%，2025年社会消费品零售总额948.30亿元，进出口总额7.45亿美元。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淮南市2025年GDP总量1,750.10亿元、列全省第12位，一般公共预算收入139.00亿元、列全省第12位。整体来看，淮南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淮南市财政体量在安徽省处于中游，税收占比64.03%、税收质量较好，但政府性基金收入较2023年累计下降50%、土地财政贡献度弱化；2025年末宽口径债务率1157.25%、处于偏高水平，已显著高于公认的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淮南市一般公共预算收入分别为130.50亿元、135.79亿元、139.00亿元，其中税收收入95.14亿元、93.49亿元、89.00亿元，税收占比维持在72.90%、68.85%、64.03%；一般公共预算支出316.04亿元、339.61亿元、345.40亿元，财政自给率41.29%、39.98%、40.24%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政府性基金收入方面，2023、2024年分别为89.96亿元、45.24亿元，政府性基金收入较2023年累计下降50%、土地财政贡献度弱化，反映地方综合财力对房地产周期的敞口。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图表：2023-2025年淮南市财政收入情况(单位:亿元、%)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-49.71%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资料来源:淮南市财政决算、企业预警通,风控信评部整理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土地市场方面，【待补充:淮南市土地出让与房地产销售数据（土地市场数据库未覆盖该市）】。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淮南市地方政府债务余额分别为591.31亿元、680.89亿元、782.70亿元，2025年末债务限额793.10亿元，债务余额控制在限额以内；城投有息债务2025年末估算余额825.88亿元。债务率指标看，2025年末政府债务率563.09%、城投债务率594.16%、宽口径债务率1157.25%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淮南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