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滁州市信用评级报告(区域部分)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滁州作为安徽省下辖地级市，经济总量列安徽省第三位，人均经济实力居省内中游，经济增速由6.50%回落至5.50%、有所放缓；固定资产投资最新增速转负（-7.10%），经济动能仍有待修复。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滁州市2023、2024、2025年地区生产总值分别为3,882.77亿元、4,034.39亿元、4,221.10亿元，同比增长6.50%、5.50%、5.50%。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产业结构方面，滁州作为安徽省下辖地级市，区域产业结构以本地优势产业为主。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2023、2024、2025年固定资产投资增速分别为9.50%、7.40%、-7.10%，2025年社会消费品零售总额1,723.90亿元，进出口总额61.42亿美元。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滁州市2025年GDP总量4,221.10亿元、列全省第三位，一般公共预算收入310.40亿元、列全省第三位。整体来看，滁州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滁州市财政体量在安徽省位居前列，税收占比54.51%、税收占比处于一般水平，但政府性基金收入较2023年累计下降27%、土地财政贡献度弱化；2025年末宽口径债务率750.27%、处于偏高水平，已显著高于公认的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滁州市一般公共预算收入分别为298.16亿元、307.11亿元、310.40亿元，其中税收收入166.75亿元、167.06亿元、169.20亿元，税收占比维持在55.93%、54.40%、54.51%；一般公共预算支出533.91亿元、582.88亿元、581.80亿元，财政自给率55.85%、52.69%、53.35%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政府性基金收入方面，2023、2024、2025年分别为238.70亿元、211.90亿元、174.50亿元，政府性基金收入较2023年累计下降27%、土地财政贡献度弱化，反映地方综合财力对房地产周期的敞口。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图表：2023-2025年滁州市财政收入情况(单位:亿元、%)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298.16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582.88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-17.65%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资料来源:滁州市财政决算、企业预警通,风控信评部整理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土地市场方面，【待补充:滁州市土地出让与房地产销售数据（土地市场数据库未覆盖该市）】。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滁州市地方政府债务余额分别为1,290.30亿元、1,486.70亿元、1,841.90亿元，2025年末债务限额1,858.30亿元，债务余额控制在限额以内；城投有息债务2025年末估算余额1,820.92亿元。债务率指标看，2025年末政府债务率377.28%、城投债务率372.99%、宽口径债务率750.27%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滁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