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ind w:firstLine="0"/>
        <w:jc w:val="center"/>
      </w:pPr>
      <w:r>
        <w:rPr>
          <w:rFonts w:ascii="Times New Roman" w:hAnsi="Times New Roman" w:eastAsia="楷体"/>
          <w:b/>
          <w:color w:val="000000"/>
          <w:sz w:val="28"/>
        </w:rPr>
        <w:t>宜宾市信用评级报告(区域部分)</w:t>
      </w:r>
    </w:p>
    <w:p>
      <w:pPr>
        <w:spacing w:before="200" w:after="100" w:line="360" w:lineRule="auto"/>
        <w:ind w:firstLine="0"/>
      </w:pPr>
      <w:r>
        <w:rPr>
          <w:rFonts w:ascii="Times New Roman" w:hAnsi="Times New Roman" w:eastAsia="楷体"/>
          <w:b/>
          <w:color w:val="000000"/>
          <w:sz w:val="21"/>
        </w:rPr>
        <w:t>一、区域经济分析</w:t>
      </w:r>
    </w:p>
    <w:p>
      <w:pPr>
        <w:spacing w:before="120" w:after="60" w:line="360" w:lineRule="auto"/>
        <w:ind w:firstLine="0"/>
      </w:pPr>
      <w:r>
        <w:rPr>
          <w:rFonts w:ascii="Times New Roman" w:hAnsi="Times New Roman" w:eastAsia="楷体"/>
          <w:b/>
          <w:color w:val="000000"/>
          <w:sz w:val="21"/>
        </w:rPr>
        <w:t>■ 宜宾作为四川省下辖地级市，经济总量列四川省第三位，人均经济实力居省内中游，白酒龙头稳固、动力电池新支柱快速壮大。</w:t>
      </w:r>
    </w:p>
    <w:p>
      <w:pPr>
        <w:spacing w:before="0" w:after="60" w:line="360" w:lineRule="auto"/>
        <w:ind w:firstLine="420"/>
      </w:pPr>
      <w:r>
        <w:rPr>
          <w:rFonts w:ascii="Times New Roman" w:hAnsi="Times New Roman" w:eastAsia="楷体"/>
          <w:b w:val="0"/>
          <w:color w:val="000000"/>
          <w:sz w:val="21"/>
        </w:rPr>
        <w:t>宜宾市为四川省地级市，地处长江上游、川滇黔结合部，是“万里长江第一城”和成渝地区南向门户。2023、2024、2025年，宜宾市地区生产总值分别为3,819.61亿元、4,008.01亿元、4,134.73亿元，同比增长7.50%、5.10%、5.50%，由7.50%回落至5.50%、有所放缓。</w:t>
      </w:r>
    </w:p>
    <w:p>
      <w:pPr>
        <w:spacing w:before="0" w:after="60" w:line="360" w:lineRule="auto"/>
        <w:ind w:firstLine="420"/>
      </w:pPr>
      <w:r>
        <w:rPr>
          <w:rFonts w:ascii="Times New Roman" w:hAnsi="Times New Roman" w:eastAsia="楷体"/>
          <w:b w:val="0"/>
          <w:color w:val="000000"/>
          <w:sz w:val="21"/>
        </w:rPr>
        <w:t>产业结构方面，2025年宜宾市三次产业结构为8.7:48.2:43.1，以白酒、动力电池、晶硅光伏为支柱，聚集五粮液、宁德时代宜宾基地（四川时代）等企业，白酒与新能源“一老一新”双轮驱动。</w:t>
      </w:r>
    </w:p>
    <w:p>
      <w:pPr>
        <w:spacing w:before="0" w:after="60" w:line="360" w:lineRule="auto"/>
        <w:ind w:firstLine="420"/>
      </w:pPr>
      <w:r>
        <w:rPr>
          <w:rFonts w:ascii="Times New Roman" w:hAnsi="Times New Roman" w:eastAsia="楷体"/>
          <w:b w:val="0"/>
          <w:color w:val="000000"/>
          <w:sz w:val="21"/>
        </w:rPr>
        <w:t>经济动能方面，2023、2024、2025年宜宾市固定资产投资增速分别为-9.90%、-18.40%、-9.30%，在房地产投资承压、部分大型项目接续不足的背景下有所走弱；2025年社会消费品零售总额1,187.60亿元，进出口总额43.44亿美元。</w:t>
      </w:r>
    </w:p>
    <w:p>
      <w:pPr>
        <w:spacing w:before="80" w:after="40" w:line="360" w:lineRule="auto"/>
        <w:ind w:firstLine="0"/>
        <w:jc w:val="center"/>
      </w:pPr>
      <w:r>
        <w:rPr>
          <w:rFonts w:ascii="Times New Roman" w:hAnsi="Times New Roman" w:eastAsia="楷体"/>
          <w:b/>
          <w:color w:val="000000"/>
          <w:sz w:val="21"/>
        </w:rPr>
        <w:t>图表：2025年四川省各地级市主要经济指标对比</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地级市</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人均GDP(万元)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三次产业结构</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一般预算(亿元)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常住人口(万人)</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成都市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24,763.60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11.52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2.2:27.9:69.9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2,000.71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2153.50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绵阳市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4,600.66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9.33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7.8:40:52.2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227.62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宜宾市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4,134.73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8.7:48.2:43.1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333.90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德阳市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3,387.10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8.2:49.5:42.3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210.32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342.00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泸州市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3,004.29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7.08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8.9:46.6:44.5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233.47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421.20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达州市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2,990.90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14.3:28.1:57.6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200.33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523.00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南充市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2,901.76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5.32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118.95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541.50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凉山彝族自治州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2,605.75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20.6:32.3:47.1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232.39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乐山市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2,501.54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10.7:38.7:50.6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172.16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内江市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2,050.66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6.75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13.4:34.4:52.2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93.43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眉山市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2,008.72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6.83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11.8:39.6:48.6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164.47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292.20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自贡市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2,003.66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8.32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11.9:28.2:59.9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87.25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240.50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遂宁市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2,002.14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10.6:42.9:46.5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106.84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274.70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广安市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1,700.87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13.7:28.2:58.1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109.01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攀枝花市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1,409.57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7.3:54.8:37.9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105.18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122.20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广元市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1,348.78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16.3:32.3:51.4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77.50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资阳市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1,150.81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18.8:28.3:52.9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73.65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219.50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雅安市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1,131.60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7.95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14.2:31.1:54.7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87.86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巴中市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916.64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3.53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21.6:19.1:59.3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75.41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257.80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甘孜藏族自治州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613.11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15.06:30.27:54.67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71.86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111.90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阿坝藏族羌族自治州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601.19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19.4:23.6:57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bl>
    <w:p>
      <w:pPr>
        <w:spacing w:before="0" w:after="80" w:line="360" w:lineRule="auto"/>
        <w:ind w:firstLine="0"/>
      </w:pPr>
      <w:r>
        <w:rPr>
          <w:rFonts w:ascii="Times New Roman" w:hAnsi="Times New Roman" w:eastAsia="楷体"/>
          <w:b w:val="0"/>
          <w:color w:val="000000"/>
          <w:sz w:val="19"/>
        </w:rPr>
        <w:t>资料来源：各市统计公报、企业预警通，风控信评部整理。注：部分城市人均GDP系按当年GDP与常住人口估算。</w:t>
      </w:r>
    </w:p>
    <w:p>
      <w:pPr>
        <w:spacing w:before="0" w:after="60" w:line="360" w:lineRule="auto"/>
        <w:ind w:firstLine="420"/>
      </w:pPr>
      <w:r>
        <w:rPr>
          <w:rFonts w:ascii="Times New Roman" w:hAnsi="Times New Roman" w:eastAsia="楷体"/>
          <w:b w:val="0"/>
          <w:color w:val="000000"/>
          <w:sz w:val="21"/>
        </w:rPr>
        <w:t>省内对比看，宜宾市2025年GDP总量4,134.73亿元、列全省第三位；一般公共预算收入333.90亿元、列全省第二位。整体来看，宜宾市在四川省内的经济与财政地位较为重要，但放到同类城市横向看，产业结构升级与新旧动能转换仍是中长期需要关注的核心课题。</w:t>
      </w:r>
    </w:p>
    <w:p>
      <w:pPr>
        <w:spacing w:before="120" w:after="60" w:line="360" w:lineRule="auto"/>
        <w:ind w:firstLine="0"/>
      </w:pPr>
      <w:r>
        <w:rPr>
          <w:rFonts w:ascii="Times New Roman" w:hAnsi="Times New Roman" w:eastAsia="楷体"/>
          <w:b/>
          <w:color w:val="000000"/>
          <w:sz w:val="21"/>
        </w:rPr>
        <w:t>■ 宜宾市财政体量在四川省位居前列，税收占比偏低、非税收入占比相对较高、财政质量有待优化；但受房地产市场调整影响，政府性基金收入较2023年累计下降25%、土地财政贡献度有所弱化；2025年末宽口径债务率333.71%、处于偏高水平，已显著高于公认的 300% 偏高临界线，后续偿债压力值得关注。</w:t>
      </w:r>
    </w:p>
    <w:p>
      <w:pPr>
        <w:spacing w:before="0" w:after="60" w:line="360" w:lineRule="auto"/>
        <w:ind w:firstLine="420"/>
      </w:pPr>
      <w:r>
        <w:rPr>
          <w:rFonts w:ascii="Times New Roman" w:hAnsi="Times New Roman" w:eastAsia="楷体"/>
          <w:b w:val="0"/>
          <w:color w:val="000000"/>
          <w:sz w:val="21"/>
        </w:rPr>
        <w:t>财政收入方面，2023、2024、2025年宜宾市一般公共预算收入分别为313.99亿元、324.30亿元、333.90亿元，在四川省内位居前列；其中税收收入分别为184.57亿元、190.78亿元、193.92亿元，税收占比维持在58.78%、58.83%、58.08%，偏低、非税收入占比相对较高、财政质量有待优化。一般公共预算支出分别为663.69亿元、671.43亿元、702.01亿元，财政自给率47.31%、48.30%、47.56%，财政自给率偏低、刚性支出压力较大。</w:t>
      </w:r>
    </w:p>
    <w:p>
      <w:pPr>
        <w:spacing w:before="0" w:after="60" w:line="360" w:lineRule="auto"/>
        <w:ind w:firstLine="420"/>
      </w:pPr>
      <w:r>
        <w:rPr>
          <w:rFonts w:ascii="Times New Roman" w:hAnsi="Times New Roman" w:eastAsia="楷体"/>
          <w:b w:val="0"/>
          <w:color w:val="000000"/>
          <w:sz w:val="21"/>
        </w:rPr>
        <w:t>政府性基金收入方面，2023、2024、2025年宜宾市政府性基金收入分别为199.39亿元、165.93亿元、149.60亿元，较2023年累计下降25%、土地财政贡献度有所弱化，反映地方综合财力对房地产周期与土地市场的敞口较大。</w:t>
      </w:r>
    </w:p>
    <w:p>
      <w:pPr>
        <w:spacing w:before="80" w:after="40" w:line="360" w:lineRule="auto"/>
        <w:ind w:firstLine="0"/>
        <w:jc w:val="center"/>
      </w:pPr>
      <w:r>
        <w:rPr>
          <w:rFonts w:ascii="Times New Roman" w:hAnsi="Times New Roman" w:eastAsia="楷体"/>
          <w:b/>
          <w:color w:val="000000"/>
          <w:sz w:val="21"/>
        </w:rPr>
        <w:t>图表：2023-2025年宜宾市财政收入情况(单位:亿元、%)</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项目</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2023年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2024年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2025年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313.99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13.84%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324.30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333.90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2.96%</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 xml:space="preserve">　其中:税收收入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184.57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190.78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193.92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1.65%</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税收占比</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58.78%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58.83%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58.08%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一般公共预算支出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663.69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671.43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702.01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4.55%</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财政自给率</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47.31%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48.30%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47.56%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政府性基金收入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199.39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165.93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-16.78%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149.60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-9.84%</w:t>
            </w:r>
          </w:p>
        </w:tc>
      </w:tr>
    </w:tbl>
    <w:p>
      <w:pPr>
        <w:spacing w:before="0" w:after="80" w:line="360" w:lineRule="auto"/>
        <w:ind w:firstLine="0"/>
      </w:pPr>
      <w:r>
        <w:rPr>
          <w:rFonts w:ascii="Times New Roman" w:hAnsi="Times New Roman" w:eastAsia="楷体"/>
          <w:b w:val="0"/>
          <w:color w:val="000000"/>
          <w:sz w:val="19"/>
        </w:rPr>
        <w:t>资料来源:宜宾市财政决算、企业预警通,风控信评部整理</w:t>
      </w:r>
    </w:p>
    <w:p>
      <w:pPr>
        <w:spacing w:before="0" w:after="60" w:line="360" w:lineRule="auto"/>
        <w:ind w:firstLine="420"/>
      </w:pPr>
      <w:r>
        <w:rPr>
          <w:rFonts w:ascii="Times New Roman" w:hAnsi="Times New Roman" w:eastAsia="楷体"/>
          <w:b w:val="0"/>
          <w:color w:val="000000"/>
          <w:sz w:val="21"/>
        </w:rPr>
        <w:t>土地市场方面，2021、2022、2023、2024、2025年宜宾市经营性用地成交价分别为162.43亿元、150.29亿元、94.09亿元、97.25亿元、46.72亿元，2025年较2021年下降71.24%；同期平均溢价率为14.08%、2.00%、5.44%、7.50%、5.72%，整体处于低位、反映市场化主体拿地意愿与未来房价预期偏弱；成交楼面均价由1,253元/㎡降至602元/㎡、累计下降51.96%。2026年1-4月，宜宾市经营性用地累计成交51宗、规划建面315.83万㎡、成交价24.24亿元，延续低位运行。</w:t>
      </w:r>
    </w:p>
    <w:p>
      <w:pPr>
        <w:spacing w:before="80" w:after="40" w:line="360" w:lineRule="auto"/>
        <w:ind w:firstLine="0"/>
        <w:jc w:val="center"/>
      </w:pPr>
      <w:r>
        <w:rPr>
          <w:rFonts w:ascii="Times New Roman" w:hAnsi="Times New Roman" w:eastAsia="楷体"/>
          <w:b/>
          <w:color w:val="000000"/>
          <w:sz w:val="21"/>
        </w:rPr>
        <w:t>图表:2021-2025年宜宾市土地出让情况</w:t>
      </w:r>
    </w:p>
    <w:tbl>
      <w:tblPr>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年度</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土地宗数</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规划建面(万㎡)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成交楼面均价(元/㎡)</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平均溢价率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成交价(亿元)</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1,324.05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1,253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14.08%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162.43</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239</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1,721.03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873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150.29</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1,053.40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893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94.09</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1,254.86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774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7.50%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97.25</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770.59</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602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46.72</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2026年1-4月</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315.83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24.24</w:t>
            </w:r>
          </w:p>
        </w:tc>
      </w:tr>
    </w:tbl>
    <w:p>
      <w:pPr>
        <w:spacing w:before="0" w:after="80" w:line="360" w:lineRule="auto"/>
        <w:ind w:firstLine="0"/>
      </w:pPr>
      <w:r>
        <w:rPr>
          <w:rFonts w:ascii="Times New Roman" w:hAnsi="Times New Roman" w:eastAsia="楷体"/>
          <w:b w:val="0"/>
          <w:color w:val="000000"/>
          <w:sz w:val="19"/>
        </w:rPr>
        <w:t>资料来源:中指数据库,风控信评部整理</w:t>
      </w:r>
    </w:p>
    <w:p>
      <w:pPr>
        <w:spacing w:before="0" w:after="60" w:line="360" w:lineRule="auto"/>
        <w:ind w:firstLine="420"/>
      </w:pPr>
      <w:r>
        <w:rPr>
          <w:rFonts w:ascii="Times New Roman" w:hAnsi="Times New Roman" w:eastAsia="楷体"/>
          <w:b w:val="0"/>
          <w:color w:val="000000"/>
          <w:sz w:val="21"/>
        </w:rPr>
        <w:t>从房地产销售看，2021-2025年宜宾市商品住宅成交面积由34.21万㎡变动至50.43万㎡；新房均价2025年为7,805元/㎡、较2023年高点(8,111元/㎡)累计下跌3.77%。</w:t>
      </w:r>
    </w:p>
    <w:p>
      <w:pPr>
        <w:spacing w:before="0" w:after="60" w:line="360" w:lineRule="auto"/>
        <w:ind w:firstLine="420"/>
      </w:pPr>
      <w:r>
        <w:rPr>
          <w:rFonts w:ascii="Times New Roman" w:hAnsi="Times New Roman" w:eastAsia="楷体"/>
          <w:b w:val="0"/>
          <w:color w:val="000000"/>
          <w:sz w:val="21"/>
        </w:rPr>
        <w:t>政府债务方面，2023、2024、2025年末宜宾市地方政府债务余额分别为1,101.90亿元、1,348.20亿元、1,595.80亿元，两年累计增长44.82%，主要源于地方专项债加快发行及置换债集中落地；2025年末债务限额1,647.40亿元，债务余额控制在限额以内。城投有息债务方面，2025年末估算余额为1,993.60亿元，较2023年末增长25.93%。债务率指标看，2025年末宜宾市政府债务率148.36%、城投债务率185.35%、宽口径债务率333.71%，较2023年末抬升81.14个百分点，显著高于公认的300%偏高临界线、在全国主要城市中处于较高水平。值得注意的是，政府性基金收入下滑是债务率分母端走低的重要因素，叠加债务规模快速扩张，对债务率指标形成放大效应。</w:t>
      </w:r>
    </w:p>
    <w:p>
      <w:pPr>
        <w:spacing w:before="0" w:after="60" w:line="360" w:lineRule="auto"/>
        <w:ind w:firstLine="420"/>
      </w:pPr>
      <w:r>
        <w:rPr>
          <w:rFonts w:ascii="Times New Roman" w:hAnsi="Times New Roman" w:eastAsia="楷体"/>
          <w:b w:val="0"/>
          <w:color w:val="000000"/>
          <w:sz w:val="21"/>
        </w:rPr>
        <w:t>综合来看，宜宾市“一老一新”产业支撑较强、成长性好，区域信用环境总体可控。我们预计宽口径债务率短期内将维持高位，需重点关注后续化债进展、土地市场企稳情况以及融资平台合规整改对城投平台再融资能力的影响。</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