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成都市信用评级报告(区域部分)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成都作为四川省省会，经济总量在四川省稳居第一，人均GDP约11.52万元、人均经济实力居全省前列，西部门户地位突出、电子信息与服务业发达。</w:t>
      </w:r>
    </w:p>
    <w:p>
      <w:pPr>
        <w:spacing w:before="0" w:after="60" w:line="360" w:lineRule="auto"/>
        <w:ind w:firstLine="420"/>
      </w:pPr>
      <w:r>
        <w:rPr>
          <w:rFonts w:ascii="Times New Roman" w:hAnsi="Times New Roman" w:eastAsia="楷体"/>
          <w:b w:val="0"/>
          <w:color w:val="000000"/>
          <w:sz w:val="21"/>
        </w:rPr>
        <w:t>成都市为四川省省会、副省级城市、成渝地区双城经济圈极核，是西部地区的经济、科技、商贸、金融和综合交通中心。2023、2024、2025年，成都市地区生产总值分别为22,336.60亿元、23,519.50亿元、24,763.60亿元，同比增长6.10%、5.70%、5.80%，维持在5.80%左右、总体平稳。截至2025年末，全市常住人口2153.50万人，人均GDP约11.52万元。</w:t>
      </w:r>
    </w:p>
    <w:p>
      <w:pPr>
        <w:spacing w:before="0" w:after="60" w:line="360" w:lineRule="auto"/>
        <w:ind w:firstLine="420"/>
      </w:pPr>
      <w:r>
        <w:rPr>
          <w:rFonts w:ascii="Times New Roman" w:hAnsi="Times New Roman" w:eastAsia="楷体"/>
          <w:b w:val="0"/>
          <w:color w:val="000000"/>
          <w:sz w:val="21"/>
        </w:rPr>
        <w:t>产业结构方面，2025年成都市三次产业结构为2.2:27.9:69.9，以电子信息、装备制造、医药健康、数字经济为支柱，聚集京东方、英特尔成都、华为成都、通威等企业；依托双流、天府机场和中欧班列，商贸物流与外向型经济发达；拥有四川大学、电子科技大学等高校，科教资源居西部前列。</w:t>
      </w:r>
    </w:p>
    <w:p>
      <w:pPr>
        <w:spacing w:before="0" w:after="60" w:line="360" w:lineRule="auto"/>
        <w:ind w:firstLine="420"/>
      </w:pPr>
      <w:r>
        <w:rPr>
          <w:rFonts w:ascii="Times New Roman" w:hAnsi="Times New Roman" w:eastAsia="楷体"/>
          <w:b w:val="0"/>
          <w:color w:val="000000"/>
          <w:sz w:val="21"/>
        </w:rPr>
        <w:t>经济动能方面，2023、2024、2025年成都市固定资产投资增速分别为-19.40%、7.30%、2.20%；2025年社会消费品零售总额11,434.10亿元，进出口总额1,190.31亿美元。</w:t>
      </w:r>
    </w:p>
    <w:p>
      <w:pPr>
        <w:spacing w:before="80" w:after="40" w:line="360" w:lineRule="auto"/>
        <w:ind w:firstLine="0"/>
        <w:jc w:val="center"/>
      </w:pPr>
      <w:r>
        <w:rPr>
          <w:rFonts w:ascii="Times New Roman" w:hAnsi="Times New Roman" w:eastAsia="楷体"/>
          <w:b/>
          <w:color w:val="000000"/>
          <w:sz w:val="21"/>
        </w:rPr>
        <w:t>图表：2025年四川省各地级市主要经济指标对比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成都市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24,763.60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2.2:27.9:69.9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2153.50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绵阳市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4,600.66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7.8:40:52.2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宜宾市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4,134.73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8.7:48.2:43.1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333.90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德阳市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8.2:49.5:42.3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210.32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342.00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泸州市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3,004.29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8.9:46.6:44.5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达州市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2,990.90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14.3:28.1:57.6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523.00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南充市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2,901.76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541.50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凉山彝族自治州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2,605.75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20.6:32.3:47.1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232.39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乐山市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2,501.54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10.7:38.7:50.6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内江市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2,050.66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13.4:34.4:52.2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眉山市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2,008.72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11.8:39.6:48.6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164.47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自贡市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11.9:28.2:59.9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遂宁市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2,002.14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10.6:42.9:46.5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274.70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1,700.87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13.7:28.2:58.1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攀枝花市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1,409.57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7.3:54.8:37.9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122.20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广元市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1,348.78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16.3:32.3:51.4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资阳市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1,150.81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18.8:28.3:52.9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雅安市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1,131.60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14.2:31.1:54.7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巴中市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916.64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21.6:19.1:59.3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甘孜藏族自治州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613.11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15.06:30.27:54.67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111.90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阿坝藏族羌族自治州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601.19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19.4:23.6:57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成都市2025年GDP总量24,763.60亿元、列全省第一位，约为省内第二的绵阳市（4,600.66亿元）的5.4倍，“一城独大”格局突出；一般公共预算收入2,000.71亿元、稳居全省第一。整体来看，成都市在四川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成都市财政体量在四川省稳居第一，税收占比处于70%以上的较高水平、显著高于全国地级市平均、财政质量较好；但受房地产市场调整影响，政府性基金收入较2023年累计缩水超三成、土地财政贡献度显著弱化；2025年末宽口径债务率924.46%、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成都市一般公共预算收入分别为1,929.06亿元、1,949.50亿元、2,000.71亿元，在四川省内稳居第一；其中税收收入分别为1,449.38亿元、1,373.64亿元、1,408.87亿元，税收占比维持在75.13%、70.46%、70.42%，处于70%以上的较高水平、显著高于全国地级市平均、财政质量较好。一般公共预算支出分别为2,586.83亿元、2,610.39亿元、2,680.05亿元，财政自给率74.57%、74.68%、74.65%，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成都市政府性基金收入分别为1,886.85亿元、1,239.07亿元、1,280.45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图表：2023-2025年成都市财政收入情况(单位:亿元、%)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1,929.06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1,949.50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2,000.71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1,449.38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1,373.64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1,408.87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2,586.83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2,610.39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2,680.05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74.65%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1,886.85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1,239.07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1,280.45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3.34%</w:t>
            </w:r>
          </w:p>
        </w:tc>
      </w:tr>
    </w:tbl>
    <w:p>
      <w:pPr>
        <w:spacing w:before="0" w:after="80" w:line="360" w:lineRule="auto"/>
        <w:ind w:firstLine="0"/>
      </w:pPr>
      <w:r>
        <w:rPr>
          <w:rFonts w:ascii="Times New Roman" w:hAnsi="Times New Roman" w:eastAsia="楷体"/>
          <w:b w:val="0"/>
          <w:color w:val="000000"/>
          <w:sz w:val="19"/>
        </w:rPr>
        <w:t>资料来源:成都市财政决算、企业预警通,风控信评部整理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成都市经营性用地成交价分别为1,799.45亿元、1,628.39亿元、1,353.66亿元、809.38亿元、969.23亿元，2025年较2021年下降46.14%；同期平均溢价率为4.42%、2.64%、7.37%、6.85%、9.99%，整体处于低位、反映市场化主体拿地意愿与未来房价预期偏弱；成交楼面均价由3,290元/㎡降至2,316元/㎡、累计下降29.60%。2026年1-4月，成都市经营性用地累计成交77宗、规划建面696.33万㎡、成交价119.57亿元，延续低位运行。</w:t>
      </w:r>
    </w:p>
    <w:p>
      <w:pPr>
        <w:spacing w:before="80" w:after="40" w:line="360" w:lineRule="auto"/>
        <w:ind w:firstLine="0"/>
        <w:jc w:val="center"/>
      </w:pPr>
      <w:r>
        <w:rPr>
          <w:rFonts w:ascii="Times New Roman" w:hAnsi="Times New Roman" w:eastAsia="楷体"/>
          <w:b/>
          <w:color w:val="000000"/>
          <w:sz w:val="21"/>
        </w:rPr>
        <w:t>图表:2021-2025年成都市土地出让情况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5,466.08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3,290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1,799.45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6,829.30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1,628.39</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6,591.55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1,353.66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3,381.18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809.38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4,175.33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2,316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969.23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696.33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119.57</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成都市商品住宅成交面积由2,513.57万㎡变动至1,181.17万㎡、累计下降53.0%；新房均价2025年为18,850元/㎡、较2023年高点(19,159元/㎡)累计下跌1.61%；2025年去化周期24.02个月。二手房市场仍处于深度调整，据中指冰山指数(最低挂牌价口径)，成都二手房挂牌价较2018年7月高点累计下跌23.25%，2023年累计跌幅-5.52%、2024年累计跌幅-7.43%、2025年累计跌幅-6.37%。</w:t>
      </w:r>
    </w:p>
    <w:p>
      <w:pPr>
        <w:spacing w:before="0" w:after="60" w:line="360" w:lineRule="auto"/>
        <w:ind w:firstLine="420"/>
      </w:pPr>
      <w:r>
        <w:rPr>
          <w:rFonts w:ascii="Times New Roman" w:hAnsi="Times New Roman" w:eastAsia="楷体"/>
          <w:b w:val="0"/>
          <w:color w:val="000000"/>
          <w:sz w:val="21"/>
        </w:rPr>
        <w:t>政府债务方面，2023、2024、2025年末成都市地方政府债务余额分别为5,228.70亿元、6,206.60亿元、7,223.90亿元，两年累计增长38.16%，主要源于地方专项债加快发行及置换债集中落地；2025年末债务限额7,814.90亿元，债务余额控制在限额以内。城投有息债务方面，2025年末估算余额为35,654.18亿元、规模在全国地级市中位居前列，较2023年末增长19.21%。债务率指标看，2025年末成都市政府债务率155.75%、城投债务率768.71%、宽口径债务率924.46%，较2023年末抬升248.93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成都市作为西部极核城市，经济财政体量大、产业多元，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