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绵阳市信用评级报告(区域部分)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绵阳作为四川省下辖地级市，经济总量列四川省第二位，人均GDP约9.33万元、人均经济实力居全省前列，科技城与电子信息特色突出、创新资源富集。</w:t>
      </w:r>
    </w:p>
    <w:p>
      <w:pPr>
        <w:spacing w:before="0" w:after="60" w:line="360" w:lineRule="auto"/>
        <w:ind w:firstLine="420"/>
      </w:pPr>
      <w:r>
        <w:rPr>
          <w:rFonts w:ascii="Times New Roman" w:hAnsi="Times New Roman" w:eastAsia="楷体"/>
          <w:b w:val="0"/>
          <w:color w:val="000000"/>
          <w:sz w:val="21"/>
        </w:rPr>
        <w:t>绵阳市为四川省地级市，是党中央、国务院批准建设的中国科技城和成渝地区重要节点城市。2023、2024、2025年，绵阳市地区生产总值分别为4,096.82亿元、4,338.10亿元、4,600.66亿元，同比增长8.00%、6.90%、6.50%，由8.00%回落至6.50%、有所放缓。</w:t>
      </w:r>
    </w:p>
    <w:p>
      <w:pPr>
        <w:spacing w:before="0" w:after="60" w:line="360" w:lineRule="auto"/>
        <w:ind w:firstLine="420"/>
      </w:pPr>
      <w:r>
        <w:rPr>
          <w:rFonts w:ascii="Times New Roman" w:hAnsi="Times New Roman" w:eastAsia="楷体"/>
          <w:b w:val="0"/>
          <w:color w:val="000000"/>
          <w:sz w:val="21"/>
        </w:rPr>
        <w:t>产业结构方面，2025年绵阳市三次产业结构为7.8:40:52.2，以电子信息、国防科技、装备制造、新材料为支柱，聚集长虹、京东方绵阳、九洲等企业，军民融合与电子信息特色鲜明。</w:t>
      </w:r>
    </w:p>
    <w:p>
      <w:pPr>
        <w:spacing w:before="0" w:after="60" w:line="360" w:lineRule="auto"/>
        <w:ind w:firstLine="420"/>
      </w:pPr>
      <w:r>
        <w:rPr>
          <w:rFonts w:ascii="Times New Roman" w:hAnsi="Times New Roman" w:eastAsia="楷体"/>
          <w:b w:val="0"/>
          <w:color w:val="000000"/>
          <w:sz w:val="21"/>
        </w:rPr>
        <w:t>经济动能方面，2023、2024、2025年绵阳市固定资产投资增速分别为11.10%、6.00%、2.60%；2025年社会消费品零售总额2,003.41亿元，进出口总额43.75亿美元。</w:t>
      </w:r>
    </w:p>
    <w:p>
      <w:pPr>
        <w:spacing w:before="80" w:after="40" w:line="360" w:lineRule="auto"/>
        <w:ind w:firstLine="0"/>
        <w:jc w:val="center"/>
      </w:pPr>
      <w:r>
        <w:rPr>
          <w:rFonts w:ascii="Times New Roman" w:hAnsi="Times New Roman" w:eastAsia="楷体"/>
          <w:b/>
          <w:color w:val="000000"/>
          <w:sz w:val="21"/>
        </w:rPr>
        <w:t>图表：2025年四川省各地级市主要经济指标对比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成都市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24,763.60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2.2:27.9:69.9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2153.50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绵阳市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4,600.66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7.8:40:52.2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宜宾市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4,134.73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8.7:48.2:43.1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德阳市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8.2:49.5:42.3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342.00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3,004.29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8.9:46.6:44.5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达州市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2,990.90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14.3:28.1:57.6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南充市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2,901.76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凉山彝族自治州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2,605.75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20.6:32.3:47.1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232.39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乐山市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2,501.54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10.7:38.7:50.6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内江市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2,050.66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13.4:34.4:52.2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眉山市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2,008.72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11.8:39.6:48.6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自贡市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11.9:28.2:59.9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遂宁市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2,002.14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10.6:42.9:46.5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274.70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1,700.87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13.7:28.2:58.1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攀枝花市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1,409.57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7.3:54.8:37.9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广元市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16.3:32.3:51.4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资阳市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18.8:28.3:52.9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雅安市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1,131.60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14.2:31.1:54.7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巴中市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916.64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21.6:19.1:59.3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甘孜藏族自治州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613.11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15.06:30.27:54.67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阿坝藏族羌族自治州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601.19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19.4:23.6:57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绵阳市2025年GDP总量4,600.66亿元、列全省第二位；一般公共预算收入227.62亿元、列全省第五位。整体来看，绵阳市在四川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绵阳市财政体量在四川省处于中游，税收占比偏低、非税收入占比相对较高、财政质量有待优化；但受房地产市场调整影响，政府性基金收入较2023年累计下降12%、土地财政贡献度有所弱化；2025年末宽口径债务率890.82%、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绵阳市一般公共预算收入分别为201.47亿元、216.67亿元、227.62亿元，在四川省内处于中游；其中税收收入分别为113.24亿元、113.35亿元、115.04亿元，税收占比维持在56.21%、52.31%、50.54%，偏低、非税收入占比相对较高、财政质量有待优化。一般公共预算支出分别为577.60亿元、593.00亿元、604.47亿元，财政自给率34.88%、36.54%、37.66%，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政府性基金收入方面，2023、2024、2025年绵阳市政府性基金收入分别为206.01亿元、205.46亿元、180.68亿元，较2023年累计下降12%、土地财政贡献度有所弱化，反映地方综合财力对房地产周期与土地市场的敞口较大。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图表：2023-2025年绵阳市财政收入情况(单位:亿元、%)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604.47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206.01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180.68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-12.06%</w:t>
            </w:r>
          </w:p>
        </w:tc>
      </w:tr>
    </w:tbl>
    <w:p>
      <w:pPr>
        <w:spacing w:before="0" w:after="80" w:line="360" w:lineRule="auto"/>
        <w:ind w:firstLine="0"/>
      </w:pPr>
      <w:r>
        <w:rPr>
          <w:rFonts w:ascii="Times New Roman" w:hAnsi="Times New Roman" w:eastAsia="楷体"/>
          <w:b w:val="0"/>
          <w:color w:val="000000"/>
          <w:sz w:val="19"/>
        </w:rPr>
        <w:t>资料来源:绵阳市财政决算、企业预警通,风控信评部整理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绵阳市经营性用地成交价分别为154.51亿元、163.88亿元、131.56亿元、98.52亿元、100.37亿元，2025年较2021年下降35.04%；同期平均溢价率为14.63%、5.23%、2.00%、7.82%、2.57%，整体处于低位、反映市场化主体拿地意愿与未来房价预期偏弱；成交楼面均价由1,054元/㎡降至653元/㎡、累计下降38.05%。2026年1-4月，绵阳市经营性用地累计成交11宗、规划建面67.35万㎡、成交价1.91亿元，延续低位运行。</w:t>
      </w:r>
    </w:p>
    <w:p>
      <w:pPr>
        <w:spacing w:before="80" w:after="40" w:line="360" w:lineRule="auto"/>
        <w:ind w:firstLine="0"/>
        <w:jc w:val="center"/>
      </w:pPr>
      <w:r>
        <w:rPr>
          <w:rFonts w:ascii="Times New Roman" w:hAnsi="Times New Roman" w:eastAsia="楷体"/>
          <w:b/>
          <w:color w:val="000000"/>
          <w:sz w:val="21"/>
        </w:rPr>
        <w:t>图表:2021-2025年绵阳市土地出让情况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1,466.40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154.51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2,151.19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163.88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1,790.69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131.56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1,427.21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98.52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1,525.92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100.37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1.91</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从房地产销售看，2021-2025年绵阳市商品住宅成交面积由299.21万㎡变动至140.03万㎡、累计下降53.2%；新房均价2025年为8,595元/㎡、较2022年高点(9,014元/㎡)累计下跌4.65%。</w:t>
      </w:r>
    </w:p>
    <w:p>
      <w:pPr>
        <w:spacing w:before="0" w:after="60" w:line="360" w:lineRule="auto"/>
        <w:ind w:firstLine="420"/>
      </w:pPr>
      <w:r>
        <w:rPr>
          <w:rFonts w:ascii="Times New Roman" w:hAnsi="Times New Roman" w:eastAsia="楷体"/>
          <w:b w:val="0"/>
          <w:color w:val="000000"/>
          <w:sz w:val="21"/>
        </w:rPr>
        <w:t>政府债务方面，2023、2024、2025年末绵阳市地方政府债务余额分别为1,065.70亿元、1,297.00亿元、1,537.02亿元，两年累计增长44.23%，主要源于地方专项债加快发行及置换债集中落地；2025年末债务限额1,608.20亿元，债务余额控制在限额以内。城投有息债务方面，2025年末估算余额为2,160.09亿元，较2023年末增长15.30%。债务率指标看，2025年末绵阳市政府债务率370.35%、城投债务率520.48%、宽口径债务率890.82%，较2023年末抬升585.10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绵阳市科技与电子信息优势明显，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