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芜湖市信用评级报告(区域部分)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芜湖作为安徽省下辖地级市，经济总量列安徽省第二位，人均经济实力居省内中游，汽车与材料产业突出、增长动能较足。</w:t>
      </w:r>
    </w:p>
    <w:p>
      <w:pPr>
        <w:spacing w:before="0" w:after="60" w:line="360" w:lineRule="auto"/>
        <w:ind w:firstLine="420"/>
      </w:pPr>
      <w:r>
        <w:rPr>
          <w:rFonts w:ascii="Times New Roman" w:hAnsi="Times New Roman" w:eastAsia="楷体"/>
          <w:b w:val="0"/>
          <w:color w:val="000000"/>
          <w:sz w:val="21"/>
        </w:rPr>
        <w:t>芜湖市为安徽省地级市，是皖江城市带核心、长三角一体化重要节点和省域副中心城市。2023、2024、2025年，芜湖市地区生产总值分别为4,859.26亿元、5,120.47亿元、5,402.69亿元，同比增长5.70%、6.40%、6.30%，由5.70%回升至6.30%、动能边际改善。</w:t>
      </w:r>
    </w:p>
    <w:p>
      <w:pPr>
        <w:spacing w:before="0" w:after="60" w:line="360" w:lineRule="auto"/>
        <w:ind w:firstLine="420"/>
      </w:pPr>
      <w:r>
        <w:rPr>
          <w:rFonts w:ascii="Times New Roman" w:hAnsi="Times New Roman" w:eastAsia="楷体"/>
          <w:b w:val="0"/>
          <w:color w:val="000000"/>
          <w:sz w:val="21"/>
        </w:rPr>
        <w:t>产业结构方面，芜湖市以汽车及零部件、新材料、电子电器、航空为支柱，聚集奇瑞汽车、海螺集团等龙头，汽车产业特色鲜明。</w:t>
      </w:r>
    </w:p>
    <w:p>
      <w:pPr>
        <w:spacing w:before="0" w:after="60" w:line="360" w:lineRule="auto"/>
        <w:ind w:firstLine="420"/>
      </w:pPr>
      <w:r>
        <w:rPr>
          <w:rFonts w:ascii="Times New Roman" w:hAnsi="Times New Roman" w:eastAsia="楷体"/>
          <w:b w:val="0"/>
          <w:color w:val="000000"/>
          <w:sz w:val="21"/>
        </w:rPr>
        <w:t>经济动能方面，2023、2024、2025年芜湖市固定资产投资增速分别为-0.70%、7.00%、-0.60%，在房地产投资承压、部分大型项目接续不足的背景下有所走弱；2025年社会消费品零售总额2,120.62亿元，进出口总额272.45亿美元。</w:t>
      </w:r>
    </w:p>
    <w:p>
      <w:pPr>
        <w:spacing w:before="80" w:after="40" w:line="360" w:lineRule="auto"/>
        <w:ind w:firstLine="0"/>
        <w:jc w:val="center"/>
      </w:pPr>
      <w:r>
        <w:rPr>
          <w:rFonts w:ascii="Times New Roman" w:hAnsi="Times New Roman" w:eastAsia="楷体"/>
          <w:b/>
          <w:color w:val="000000"/>
          <w:sz w:val="21"/>
        </w:rPr>
        <w:t>图表：2025年安徽省各地级市主要经济指标对比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合肥市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14,210.00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2.4:36.7:60.9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977.30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芜湖市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5,402.69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439.60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滁州市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4,221.10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阜阳市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3,777.60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11.3:29.7:59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安庆市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3,306.08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马鞍山市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2,920.90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3.9:41.3:54.8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亳州市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宿州市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2,538.40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14:30.1:55.9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蚌埠市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2,421.10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11.7:30.3:58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六安市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2,407.30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11.9:35:53.1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184.20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宣城市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2,148.60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8.7:43.1:48.2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淮南市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淮北市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1,419.15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6.4:38:55.6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铜陵市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1,415.40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池州市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黄山市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7.1:31:61.9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芜湖市2025年GDP总量5,402.69亿元、列全省第二位；一般公共预算收入439.60亿元、列全省第二位。整体来看，芜湖市在安徽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芜湖市财政体量在安徽省位居前列，税收占比处于70%以上的较高水平、显著高于全国地级市平均、财政质量较好；但受房地产市场调整影响，政府性基金收入较2023年累计下降18%、土地财政贡献度有所弱化；2025年末宽口径债务率468.59%、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芜湖市一般公共预算收入分别为414.30亿元、426.80亿元、439.60亿元，在安徽省内位居前列；其中税收收入分别为284.24亿元、—亿元、313.60亿元，税收占比维持在68.61%、—、71.34%，处于70%以上的较高水平、显著高于全国地级市平均、财政质量较好。一般公共预算支出分别为619.20亿元、631.90亿元、651.70亿元，财政自给率66.91%、67.54%、67.45%，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政府性基金收入方面，2023、2024、2025年芜湖市政府性基金收入分别为185.00亿元、167.50亿元、150.90亿元，较2023年累计下降18%、土地财政贡献度有所弱化，反映地方综合财力对房地产周期与土地市场的敞口较大。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图表：2023-2025年芜湖市财政收入情况(单位:亿元、%)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426.80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439.60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284.24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619.20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631.90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651.70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-9.91%</w:t>
            </w:r>
          </w:p>
        </w:tc>
      </w:tr>
    </w:tbl>
    <w:p>
      <w:pPr>
        <w:spacing w:before="0" w:after="80" w:line="360" w:lineRule="auto"/>
        <w:ind w:firstLine="0"/>
      </w:pPr>
      <w:r>
        <w:rPr>
          <w:rFonts w:ascii="Times New Roman" w:hAnsi="Times New Roman" w:eastAsia="楷体"/>
          <w:b w:val="0"/>
          <w:color w:val="000000"/>
          <w:sz w:val="19"/>
        </w:rPr>
        <w:t>资料来源:芜湖市财政决算、企业预警通,风控信评部整理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芜湖市经营性用地成交价分别为226.21亿元、239.28亿元、160.48亿元、125.40亿元、106.31亿元，2025年较2021年下降53.00%；同期平均溢价率为46.06%、10.48%、5.07%、1.05%、0.65%，整体处于低位、反映市场化主体拿地意愿与未来房价预期偏弱；成交楼面均价由1,499元/㎡降至797元/㎡、累计下降46.83%。2026年1-4月，芜湖市经营性用地累计成交55宗、规划建面359.09万㎡、成交价16.07亿元，延续低位运行。</w:t>
      </w:r>
    </w:p>
    <w:p>
      <w:pPr>
        <w:spacing w:before="80" w:after="40" w:line="360" w:lineRule="auto"/>
        <w:ind w:firstLine="0"/>
        <w:jc w:val="center"/>
      </w:pPr>
      <w:r>
        <w:rPr>
          <w:rFonts w:ascii="Times New Roman" w:hAnsi="Times New Roman" w:eastAsia="楷体"/>
          <w:b/>
          <w:color w:val="000000"/>
          <w:sz w:val="21"/>
        </w:rPr>
        <w:t>图表:2021-2025年芜湖市土地出让情况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1,509.12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1,499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226.21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2,434.02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10.48%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239.28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1,636.86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160.48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1,475.05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125.40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1,333.29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0.65%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106.31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359.09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16.07</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从房地产销售看，2021-2025年芜湖市商品住宅成交面积由374.52万㎡变动至66.60万㎡、累计下降82.2%；新房均价2025年为11,429元/㎡、较2023年高点(14,042元/㎡)累计下跌18.61%；2025年去化周期29.20个月。</w:t>
      </w:r>
    </w:p>
    <w:p>
      <w:pPr>
        <w:spacing w:before="0" w:after="60" w:line="360" w:lineRule="auto"/>
        <w:ind w:firstLine="420"/>
      </w:pPr>
      <w:r>
        <w:rPr>
          <w:rFonts w:ascii="Times New Roman" w:hAnsi="Times New Roman" w:eastAsia="楷体"/>
          <w:b w:val="0"/>
          <w:color w:val="000000"/>
          <w:sz w:val="21"/>
        </w:rPr>
        <w:t>政府债务方面，2023、2024、2025年末芜湖市地方政府债务余额分别为1,237.31亿元、1,460.95亿元、1,710.90亿元，两年累计增长38.28%，主要源于地方专项债加快发行及置换债集中落地；2025年末债务限额1,748.10亿元，债务余额控制在限额以内。城投有息债务方面，2025年末估算余额为1,076.28亿元，较2023年末增长3.24%。债务率指标看，2025年末芜湖市政府债务率287.64%、城投债务率180.95%、宽口径债务率468.59%，较2023年末抬升89.32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芜湖市产业特色鲜明、成长性较好，区域信用环境总体可控。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