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太原市信用评级报告(区域部分)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太原作为山西省省会，经济总量在山西省稳居第一，人均GDP约9.75万元、人均经济实力居全省前列，重工业与能源特征明显、转型升级持续推进。</w:t>
      </w:r>
    </w:p>
    <w:p>
      <w:pPr>
        <w:spacing w:before="0" w:after="60" w:line="360" w:lineRule="auto"/>
        <w:ind w:firstLine="420"/>
      </w:pPr>
      <w:r>
        <w:rPr>
          <w:rFonts w:ascii="Times New Roman" w:hAnsi="Times New Roman" w:eastAsia="楷体"/>
          <w:b w:val="0"/>
          <w:color w:val="000000"/>
          <w:sz w:val="21"/>
        </w:rPr>
        <w:t>太原市为山西省省会，是中部地区重要的能源、重工业基地和综合交通枢纽。2023、2024、2025年，太原市地区生产总值分别为5,494.84亿元、5,418.87亿元、5,382.45亿元，同比增长3.70%、1.20%、1.30%，由3.70%回落至1.30%、有所放缓。截至2025年末，全市常住人口552.61万人，人均GDP约9.75万元。</w:t>
      </w:r>
    </w:p>
    <w:p>
      <w:pPr>
        <w:spacing w:before="0" w:after="60" w:line="360" w:lineRule="auto"/>
        <w:ind w:firstLine="420"/>
      </w:pPr>
      <w:r>
        <w:rPr>
          <w:rFonts w:ascii="Times New Roman" w:hAnsi="Times New Roman" w:eastAsia="楷体"/>
          <w:b w:val="0"/>
          <w:color w:val="000000"/>
          <w:sz w:val="21"/>
        </w:rPr>
        <w:t>产业结构方面，2025年太原市三次产业结构为0.9:28:71.1，以钢铁、煤化工、装备制造、新材料为支柱，聚集太钢（不锈钢）、太重等企业，正推进资源型经济转型。</w:t>
      </w:r>
    </w:p>
    <w:p>
      <w:pPr>
        <w:spacing w:before="0" w:after="60" w:line="360" w:lineRule="auto"/>
        <w:ind w:firstLine="420"/>
      </w:pPr>
      <w:r>
        <w:rPr>
          <w:rFonts w:ascii="Times New Roman" w:hAnsi="Times New Roman" w:eastAsia="楷体"/>
          <w:b w:val="0"/>
          <w:color w:val="000000"/>
          <w:sz w:val="21"/>
        </w:rPr>
        <w:t>经济动能方面，2023、2024、2025年太原市固定资产投资增速分别为-18.30%、0.50%、-18.00%，在房地产投资承压、部分大型项目接续不足的背景下有所走弱；2025年社会消费品零售总额2,365.53亿元，进出口总额124.85亿美元。</w:t>
      </w:r>
    </w:p>
    <w:p>
      <w:pPr>
        <w:spacing w:before="80" w:after="40" w:line="360" w:lineRule="auto"/>
        <w:ind w:firstLine="0"/>
        <w:jc w:val="center"/>
      </w:pPr>
      <w:r>
        <w:rPr>
          <w:rFonts w:ascii="Times New Roman" w:hAnsi="Times New Roman" w:eastAsia="楷体"/>
          <w:b/>
          <w:color w:val="000000"/>
          <w:sz w:val="21"/>
        </w:rPr>
        <w:t>图表：2025年山西省各地级市主要经济指标对比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太原市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5,382.45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0.9:28:71.1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443.07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552.61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吕梁市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2,575.02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4.24:54.52:41.24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278.26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328.08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长治市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2,558.30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307.50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临汾市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7.9:40.9:51.2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383.14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晋中市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2,462.60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6.1:39.7:54.2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185.14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329.45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晋城市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2,429.90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3.2:55.4:41.4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运城市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2,248.00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16.4:32.3:51.3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463.23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大同市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6.6:31.4:62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304.43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忻州市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8.8:37.3:53.9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256.50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朔州市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1,303.70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7.5:38.4:54.1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阳泉市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870.60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2.1:41.1:56.8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128.02</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太原市2025年GDP总量5,382.45亿元、列全省第一位，约为省内第二的吕梁市（2,575.02亿元）的2.1倍，“一城独大”格局明显；一般公共预算收入443.07亿元、稳居全省第一。整体来看，太原市在山西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太原市财政体量在山西省稳居第一，税收占比处于70%以上的较高水平、显著高于全国地级市平均、财政质量较好；但受房地产市场调整影响，政府性基金收入较2023年累计缩水超三成、土地财政贡献度显著弱化；2025年末宽口径债务率277.86%、处于中等偏高水平，处于相对偏高区间，需关注债务扩张节奏。</w:t>
      </w:r>
    </w:p>
    <w:p>
      <w:pPr>
        <w:spacing w:before="0" w:after="60" w:line="360" w:lineRule="auto"/>
        <w:ind w:firstLine="420"/>
      </w:pPr>
      <w:r>
        <w:rPr>
          <w:rFonts w:ascii="Times New Roman" w:hAnsi="Times New Roman" w:eastAsia="楷体"/>
          <w:b w:val="0"/>
          <w:color w:val="000000"/>
          <w:sz w:val="21"/>
        </w:rPr>
        <w:t>财政收入方面，2023、2024、2025年太原市一般公共预算收入分别为449.24亿元、440.26亿元、443.07亿元，在山西省内稳居第一；其中税收收入分别为336.34亿元、308.94亿元、323.38亿元，税收占比维持在74.87%、70.17%、72.99%，处于70%以上的较高水平、显著高于全国地级市平均、财政质量较好。一般公共预算支出分别为777.26亿元、744.38亿元、709.86亿元，财政自给率57.80%、59.15%、62.42%，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政府性基金收入方面，2023、2024、2025年太原市政府性基金收入分别为196.22亿元、154.49亿元、87.51亿元，较2023年累计缩水超三成、土地财政贡献度显著弱化，反映地方综合财力对房地产周期与土地市场的敞口较大。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图表：2023-2025年太原市财政收入情况(单位:亿元、%)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440.26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443.07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336.34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308.94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323.38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777.26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744.38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709.86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196.22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-43.36%</w:t>
            </w:r>
          </w:p>
        </w:tc>
      </w:tr>
    </w:tbl>
    <w:p>
      <w:pPr>
        <w:spacing w:before="0" w:after="80" w:line="360" w:lineRule="auto"/>
        <w:ind w:firstLine="0"/>
      </w:pPr>
      <w:r>
        <w:rPr>
          <w:rFonts w:ascii="Times New Roman" w:hAnsi="Times New Roman" w:eastAsia="楷体"/>
          <w:b w:val="0"/>
          <w:color w:val="000000"/>
          <w:sz w:val="19"/>
        </w:rPr>
        <w:t>资料来源:太原市财政决算、企业预警通,风控信评部整理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太原市经营性用地成交价分别为193.66亿元、145.56亿元、175.23亿元、131.70亿元、76.30亿元，2025年较2021年下降60.60%；同期平均溢价率为13.83%、23.30%、0.88%、0.29%、1.56%，整体处于低位、反映市场化主体拿地意愿与未来房价预期偏弱；成交楼面均价由986元/㎡降至921元/㎡、累计下降6.59%。2026年1-4月，太原市经营性用地累计成交50宗、规划建面245.27万㎡、成交价48.38亿元，延续低位运行。</w:t>
      </w:r>
    </w:p>
    <w:p>
      <w:pPr>
        <w:spacing w:before="80" w:after="40" w:line="360" w:lineRule="auto"/>
        <w:ind w:firstLine="0"/>
        <w:jc w:val="center"/>
      </w:pPr>
      <w:r>
        <w:rPr>
          <w:rFonts w:ascii="Times New Roman" w:hAnsi="Times New Roman" w:eastAsia="楷体"/>
          <w:b/>
          <w:color w:val="000000"/>
          <w:sz w:val="21"/>
        </w:rPr>
        <w:t>图表:2021-2025年太原市土地出让情况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1,964.21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193.66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1,316.59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145.56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1,779.23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175.23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918.46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131.70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828.46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76.30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245.27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48.38</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新房均价2025年为11,454元/㎡。二手房市场仍处于深度调整，据中指冰山指数(最低挂牌价口径)，太原二手房挂牌价较2019年4月高点累计下跌32.80%，2023年累计跌幅-4.40%、2024年累计跌幅-3.35%、2025年累计跌幅-5.97%。</w:t>
      </w:r>
    </w:p>
    <w:p>
      <w:pPr>
        <w:spacing w:before="0" w:after="60" w:line="360" w:lineRule="auto"/>
        <w:ind w:firstLine="420"/>
      </w:pPr>
      <w:r>
        <w:rPr>
          <w:rFonts w:ascii="Times New Roman" w:hAnsi="Times New Roman" w:eastAsia="楷体"/>
          <w:b w:val="0"/>
          <w:color w:val="000000"/>
          <w:sz w:val="21"/>
        </w:rPr>
        <w:t>政府债务方面，2023、2024、2025年末太原市地方政府债务余额分别为1,167.48亿元、1,422.98亿元、1,791.69亿元，两年累计增长53.47%，主要源于地方专项债加快发行及置换债集中落地；2025年末债务限额1,811.51亿元，债务余额控制在限额以内。城投有息债务方面，2025年末估算余额为1,069.78亿元，较2023年末下降0.81%。债务率指标看，2025年末太原市政府债务率173.98%、城投债务率103.88%、宽口径债务率277.86%，较2023年末抬升88.72个百分点。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太原市作为能源重化省会，产业偏重，区域信用环境总体可控。我们预计宽口径债务率短期内将维持相对偏高水平，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