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东莞市信用评级报告(区域部分)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东莞作为广东省下辖地级市，经济总量列广东省第四位，人均GDP约11.94万元、人均经济实力居全省前列，制造业实力雄厚、外贸依存度高，正推动从代工向自主品牌与研发升级。</w:t>
      </w:r>
    </w:p>
    <w:p>
      <w:pPr>
        <w:spacing w:before="0" w:after="60" w:line="360" w:lineRule="auto"/>
        <w:ind w:firstLine="420"/>
      </w:pPr>
      <w:r>
        <w:rPr>
          <w:rFonts w:ascii="Times New Roman" w:hAnsi="Times New Roman" w:eastAsia="楷体"/>
          <w:b w:val="0"/>
          <w:color w:val="000000"/>
          <w:sz w:val="21"/>
        </w:rPr>
        <w:t>东莞市为广东省地级市，地处广深之间、粤港澳大湾区几何中心，是全球重要的电子信息制造基地，有“世界工厂”之称。2023、2024、2025年，东莞市地区生产总值分别为11,869.83亿元、12,348.61亿元、12,760.20亿元，同比增长2.87%、4.70%、4.00%，由2.87%回升至4.00%、动能边际改善。截至2025年末，全市常住人口1080.04万人，人均GDP约11.94万元。</w:t>
      </w:r>
    </w:p>
    <w:p>
      <w:pPr>
        <w:spacing w:before="0" w:after="60" w:line="360" w:lineRule="auto"/>
        <w:ind w:firstLine="420"/>
      </w:pPr>
      <w:r>
        <w:rPr>
          <w:rFonts w:ascii="Times New Roman" w:hAnsi="Times New Roman" w:eastAsia="楷体"/>
          <w:b w:val="0"/>
          <w:color w:val="000000"/>
          <w:sz w:val="21"/>
        </w:rPr>
        <w:t>产业结构方面，2025年东莞市三次产业结构为0.3:56.1:43.6，以电子信息、电气机械及设备、智能制造为支柱，聚集华为终端（松山湖）、OPPO、vivo、生益科技等企业，外向型制造业发达、产业配套完善；近年依托松山湖科学城布局新材料、新能源等新兴产业。</w:t>
      </w:r>
    </w:p>
    <w:p>
      <w:pPr>
        <w:spacing w:before="0" w:after="60" w:line="360" w:lineRule="auto"/>
        <w:ind w:firstLine="420"/>
      </w:pPr>
      <w:r>
        <w:rPr>
          <w:rFonts w:ascii="Times New Roman" w:hAnsi="Times New Roman" w:eastAsia="楷体"/>
          <w:b w:val="0"/>
          <w:color w:val="000000"/>
          <w:sz w:val="21"/>
        </w:rPr>
        <w:t>经济动能方面，2023、2024、2025年东莞市固定资产投资增速分别为2.70%、-6.86%、1.30%；2025年社会消费品零售总额4,446.00亿元，进出口总额2,211.19亿美元。</w:t>
      </w:r>
    </w:p>
    <w:p>
      <w:pPr>
        <w:spacing w:before="80" w:after="40" w:line="360" w:lineRule="auto"/>
        <w:ind w:firstLine="0"/>
        <w:jc w:val="center"/>
      </w:pPr>
      <w:r>
        <w:rPr>
          <w:rFonts w:ascii="Times New Roman" w:hAnsi="Times New Roman" w:eastAsia="楷体"/>
          <w:b/>
          <w:color w:val="000000"/>
          <w:sz w:val="21"/>
        </w:rPr>
        <w:t>图表：2025年广东省各地级市主要经济指标对比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深圳市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38,731.80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0.1:37.4:62.5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4,163.77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1824.85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广州市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32,039.46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0.99:24.06:74.95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1910.10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佛山市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13,157.35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1.9:49.6:48.5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东莞市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12,760.20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0.3:56.1:43.6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1080.04</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惠州市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6,363.66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5.24:53.18:41.58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538.68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619.30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珠海市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4,573.10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494.10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江门市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4,293.91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8.7:43.1:48.2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324.85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482.85</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中山市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4,260.56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380.01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茂名市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4,106.40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18.1:27.3:54.5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186.64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626.46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湛江市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3,952.94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18.6:32.6:48.8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712.29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汕头市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3,023.83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5.42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4.7:37.6:57.7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170.33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557.69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肇庆市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2,974.84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揭阳市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2,553.75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9.7:35:55.3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568.72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清远市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2,317.47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208.12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韶关市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15.2:31.1:53.7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283.39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阳江市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1,671.22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115.37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262.86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梅州市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1,583.23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4.14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5.80%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17.9:29.7:52.4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121.35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381.56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汕尾市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1,546.30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潮州市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9.8:44.5:45.7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81.93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257.88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河源市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1,434.57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13.3:33.7:53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95.34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281.42</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云浮市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1,344.87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18.1:26.3:55.6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81.10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238.96</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东莞市2025年GDP总量12,760.20亿元、列全省第四位；一般公共预算收入891.73亿元、列全省第三位。整体来看，东莞市在广东省内的经济与财政地位处于中游，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东莞市财政体量在广东省位居前列，税收占比处于70%以上的较高水平、显著高于全国地级市平均、财政质量较好；但受房地产市场调整影响，政府性基金收入较2023年累计缩水超三成、土地财政贡献度显著弱化；2025年末宽口径债务率359.48%、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东莞市一般公共预算收入分别为805.09亿元、789.43亿元、891.73亿元，在广东省内位居前列；其中税收收入分别为605.40亿元、565.40亿元、649.68亿元，税收占比维持在75.20%、71.62%、72.86%，处于70%以上的较高水平、显著高于全国地级市平均、财政质量较好。一般公共预算支出分别为905.85亿元、912.17亿元、915.60亿元，财政自给率88.88%、86.54%、97.39%，财政自给率处于较高水平。</w:t>
      </w:r>
    </w:p>
    <w:p>
      <w:pPr>
        <w:spacing w:before="0" w:after="60" w:line="360" w:lineRule="auto"/>
        <w:ind w:firstLine="420"/>
      </w:pPr>
      <w:r>
        <w:rPr>
          <w:rFonts w:ascii="Times New Roman" w:hAnsi="Times New Roman" w:eastAsia="楷体"/>
          <w:b w:val="0"/>
          <w:color w:val="000000"/>
          <w:sz w:val="21"/>
        </w:rPr>
        <w:t>政府性基金收入方面，2023、2024、2025年东莞市政府性基金收入分别为377.81亿元、163.98亿元、138.49亿元，较2023年累计缩水超三成、土地财政贡献度显著弱化，反映地方综合财力对房地产周期与土地市场的敞口较大。</w:t>
      </w:r>
    </w:p>
    <w:p>
      <w:pPr>
        <w:spacing w:before="80" w:after="40" w:line="360" w:lineRule="auto"/>
        <w:ind w:firstLine="0"/>
        <w:jc w:val="center"/>
      </w:pPr>
      <w:r>
        <w:rPr>
          <w:rFonts w:ascii="Times New Roman" w:hAnsi="Times New Roman" w:eastAsia="楷体"/>
          <w:b/>
          <w:color w:val="000000"/>
          <w:sz w:val="21"/>
        </w:rPr>
        <w:t>图表：2023-2025年东莞市财政收入情况(单位:亿元、%)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805.09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5.10%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789.43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-1.95%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891.73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12.96%</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605.40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565.40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-6.61%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649.68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14.91%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71.62%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72.86%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905.85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912.17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915.60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88.88%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86.54%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97.39%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377.81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163.98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138.49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-15.54%</w:t>
            </w:r>
          </w:p>
        </w:tc>
      </w:tr>
    </w:tbl>
    <w:p>
      <w:pPr>
        <w:spacing w:before="0" w:after="80" w:line="360" w:lineRule="auto"/>
        <w:ind w:firstLine="0"/>
      </w:pPr>
      <w:r>
        <w:rPr>
          <w:rFonts w:ascii="Times New Roman" w:hAnsi="Times New Roman" w:eastAsia="楷体"/>
          <w:b w:val="0"/>
          <w:color w:val="000000"/>
          <w:sz w:val="19"/>
        </w:rPr>
        <w:t>资料来源:东莞市财政决算、企业预警通,风控信评部整理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东莞市经营性用地成交价分别为654.86亿元、421.78亿元、141.03亿元、89.25亿元、85.53亿元，2025年较2021年下降86.94%；同期平均溢价率为20.05%、3.18%、7.25%、0.18%、6.25%，整体处于低位、反映市场化主体拿地意愿与未来房价预期偏弱；成交楼面均价由4,292元/㎡降至1,218元/㎡、累计下降71.62%。2026年1-4月，东莞市经营性用地累计成交40宗、规划建面457.59万㎡、成交价42.88亿元，延续低位运行。</w:t>
      </w:r>
    </w:p>
    <w:p>
      <w:pPr>
        <w:spacing w:before="80" w:after="40" w:line="360" w:lineRule="auto"/>
        <w:ind w:firstLine="0"/>
        <w:jc w:val="center"/>
      </w:pPr>
      <w:r>
        <w:rPr>
          <w:rFonts w:ascii="Times New Roman" w:hAnsi="Times New Roman" w:eastAsia="楷体"/>
          <w:b/>
          <w:color w:val="000000"/>
          <w:sz w:val="21"/>
        </w:rPr>
        <w:t>图表:2021-2025年东莞市土地出让情况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1,525.88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4,292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20.05%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654.86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1,331.49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421.78</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1,714.24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141.03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1,564.64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89.25</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702.03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85.53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457.59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42.88</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东莞市商品住宅成交面积由478.22万㎡变动至182.00万㎡、累计下降61.9%；新房均价2025年为20,293元/㎡、较2023年高点(32,790元/㎡)累计下跌38.11%；2025年去化周期24.59个月。二手房市场仍处于深度调整，据中指冰山指数(最低挂牌价口径)，东莞二手房挂牌价较2021年5月高点累计下跌51.58%，2023年累计跌幅-14.33%、2024年累计跌幅-21.66%、2025年累计跌幅-14.50%。</w:t>
      </w:r>
    </w:p>
    <w:p>
      <w:pPr>
        <w:spacing w:before="0" w:after="60" w:line="360" w:lineRule="auto"/>
        <w:ind w:firstLine="420"/>
      </w:pPr>
      <w:r>
        <w:rPr>
          <w:rFonts w:ascii="Times New Roman" w:hAnsi="Times New Roman" w:eastAsia="楷体"/>
          <w:b w:val="0"/>
          <w:color w:val="000000"/>
          <w:sz w:val="21"/>
        </w:rPr>
        <w:t>政府债务方面，2023、2024、2025年末东莞市地方政府债务余额分别为1,622.65亿元、1,989.59亿元、2,358.28亿元，两年累计增长45.34%，主要源于地方专项债加快发行及置换债集中落地；2025年末债务限额2,366.52亿元，债务余额控制在限额以内。城投有息债务方面，2025年末估算余额为1,381.28亿元，较2023年末增长48.14%。债务率指标看，2025年末东莞市政府债务率226.70%、城投债务率132.78%、宽口径债务率359.48%，较2023年末抬升146.60个百分点，显著高于公认的300%偏高临界线、在全国主要城市中处于较高水平。值得注意的是，政府性基金收入下滑是债务率分母端走低的重要因素，叠加债务规模快速扩张，对债务率指标形成放大效应。</w:t>
      </w:r>
    </w:p>
    <w:p>
      <w:pPr>
        <w:spacing w:before="0" w:after="60" w:line="360" w:lineRule="auto"/>
        <w:ind w:firstLine="420"/>
      </w:pPr>
      <w:r>
        <w:rPr>
          <w:rFonts w:ascii="Times New Roman" w:hAnsi="Times New Roman" w:eastAsia="楷体"/>
          <w:b w:val="0"/>
          <w:color w:val="000000"/>
          <w:sz w:val="21"/>
        </w:rPr>
        <w:t>综合来看，东莞市作为大湾区制造重镇，产业基础扎实、民营经济活跃、区域信用环境总体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