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佛山市信用评级报告(区域部分)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佛山作为广东省下辖地级市，经济总量列广东省第三位，人均经济实力居省内中游，制造业门类齐全、民营经济活跃，传统产业转型升级压力与潜力并存。</w:t>
      </w:r>
    </w:p>
    <w:p>
      <w:pPr>
        <w:spacing w:before="0" w:after="60" w:line="360" w:lineRule="auto"/>
        <w:ind w:firstLine="420"/>
      </w:pPr>
      <w:r>
        <w:rPr>
          <w:rFonts w:ascii="Times New Roman" w:hAnsi="Times New Roman" w:eastAsia="楷体"/>
          <w:b w:val="0"/>
          <w:color w:val="000000"/>
          <w:sz w:val="21"/>
        </w:rPr>
        <w:t>佛山市为广东省地级市，地处珠三角腹地、广佛同城核心，是国内重要的先进制造业基地。2023、2024、2025年，佛山市地区生产总值分别为13,323.77亿元、13,230.18亿元、13,157.35亿元，同比增长5.06%、1.10%、0.20%，由5.06%回落至0.20%、有所放缓。</w:t>
      </w:r>
    </w:p>
    <w:p>
      <w:pPr>
        <w:spacing w:before="0" w:after="60" w:line="360" w:lineRule="auto"/>
        <w:ind w:firstLine="420"/>
      </w:pPr>
      <w:r>
        <w:rPr>
          <w:rFonts w:ascii="Times New Roman" w:hAnsi="Times New Roman" w:eastAsia="楷体"/>
          <w:b w:val="0"/>
          <w:color w:val="000000"/>
          <w:sz w:val="21"/>
        </w:rPr>
        <w:t>产业结构方面，2025年佛山市三次产业结构为1.9:49.6:48.5，以家电、家具、陶瓷、金属材料、装备制造等传统优势制造业为支柱，聚集美的集团、海天味业、碧桂园等龙头企业，民营经济与专业镇经济发达。</w:t>
      </w:r>
    </w:p>
    <w:p>
      <w:pPr>
        <w:spacing w:before="0" w:after="60" w:line="360" w:lineRule="auto"/>
        <w:ind w:firstLine="420"/>
      </w:pPr>
      <w:r>
        <w:rPr>
          <w:rFonts w:ascii="Times New Roman" w:hAnsi="Times New Roman" w:eastAsia="楷体"/>
          <w:b w:val="0"/>
          <w:color w:val="000000"/>
          <w:sz w:val="21"/>
        </w:rPr>
        <w:t>经济动能方面，2023、2024、2025年佛山市固定资产投资增速分别为-9.90%、-6.90%、-16.00%，在房地产投资承压、部分大型项目接续不足的背景下有所走弱；2025年社会消费品零售总额3,945.94亿元，进出口总额673.90亿美元。</w:t>
      </w:r>
    </w:p>
    <w:p>
      <w:pPr>
        <w:spacing w:before="80" w:after="40" w:line="360" w:lineRule="auto"/>
        <w:ind w:firstLine="0"/>
        <w:jc w:val="center"/>
      </w:pPr>
      <w:r>
        <w:rPr>
          <w:rFonts w:ascii="Times New Roman" w:hAnsi="Times New Roman" w:eastAsia="楷体"/>
          <w:b/>
          <w:color w:val="000000"/>
          <w:sz w:val="21"/>
        </w:rPr>
        <w:t>图表：2025年广东省各地级市主要经济指标对比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深圳市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38,731.80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0.1:37.4:62.5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4,163.77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1824.85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广州市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32,039.46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0.99:24.06:74.95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2,184.82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1910.10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佛山市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13,157.35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1.9:49.6:48.5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800.27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东莞市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12,760.20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0.3:56.1:43.6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891.73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1080.04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惠州市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6,363.66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5.24:53.18:41.58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538.68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619.30</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珠海市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4,573.10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494.10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江门市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4,293.91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8.7:43.1:48.2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324.85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482.85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中山市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4,260.56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380.01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茂名市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4,106.40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6.55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18.1:27.3:54.5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186.64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626.46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湛江市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3,952.94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18.6:32.6:48.8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712.29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汕头市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3,023.83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4.7:37.6:57.7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170.33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557.69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肇庆市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2,974.84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240.19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揭阳市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2,553.75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9.7:35:55.3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130.12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568.72</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清远市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2,317.47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208.12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韶关市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1,705.10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15.2:31.1:53.7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120.14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283.39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阳江市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1,671.22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115.37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262.86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梅州市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1,583.23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17.9:29.7:52.4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121.35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381.56</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汕尾市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1,546.30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90.38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潮州市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1,452.17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9.8:44.5:45.7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81.93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257.88</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河源市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1,434.57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13.3:33.7:53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95.34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281.42</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云浮市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1,344.87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18.1:26.3:55.6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81.10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238.96</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佛山市2025年GDP总量13,157.35亿元、列全省第三位；一般公共预算收入800.27亿元、列全省第四位。整体来看，佛山市在广东省内的经济与财政地位较为重要，但放到同类城市横向看，产业结构升级与新旧动能转换仍是中长期需要关注的核心课题。</w:t>
      </w:r>
    </w:p>
    <w:p>
      <w:pPr>
        <w:spacing w:before="120" w:after="60" w:line="360" w:lineRule="auto"/>
        <w:ind w:firstLine="0"/>
      </w:pPr>
      <w:r>
        <w:rPr>
          <w:rFonts w:ascii="Times New Roman" w:hAnsi="Times New Roman" w:eastAsia="楷体"/>
          <w:b/>
          <w:color w:val="000000"/>
          <w:sz w:val="21"/>
        </w:rPr>
        <w:t>■ 佛山市财政体量在广东省处于中游，税收占比数据暂缺；但受房地产市场调整影响，政府性基金收入较2023年累计下降21%、土地财政贡献度有所弱化；2025年末宽口径债务率525.79%、处于偏高水平，已显著高于公认的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佛山市一般公共预算收入分别为800.77亿元、767.08亿元、800.27亿元，在广东省内处于中游；其中税收收入分别为464.26亿元、439.05亿元、—亿元，税收占比维持在57.98%、57.24%、—，数据暂缺。一般公共预算支出分别为982.86亿元、919.99亿元、920.81亿元，财政自给率81.47%、83.38%、86.91%，财政自给率处于较高水平。</w:t>
      </w:r>
    </w:p>
    <w:p>
      <w:pPr>
        <w:spacing w:before="0" w:after="60" w:line="360" w:lineRule="auto"/>
        <w:ind w:firstLine="420"/>
      </w:pPr>
      <w:r>
        <w:rPr>
          <w:rFonts w:ascii="Times New Roman" w:hAnsi="Times New Roman" w:eastAsia="楷体"/>
          <w:b w:val="0"/>
          <w:color w:val="000000"/>
          <w:sz w:val="21"/>
        </w:rPr>
        <w:t>政府性基金收入方面，2023、2024、2025年佛山市政府性基金收入分别为477.03亿元、492.77亿元、376.06亿元，较2023年累计下降21%、土地财政贡献度有所弱化，反映地方综合财力对房地产周期与土地市场的敞口较大。</w:t>
      </w:r>
    </w:p>
    <w:p>
      <w:pPr>
        <w:spacing w:before="80" w:after="40" w:line="360" w:lineRule="auto"/>
        <w:ind w:firstLine="0"/>
        <w:jc w:val="center"/>
      </w:pPr>
      <w:r>
        <w:rPr>
          <w:rFonts w:ascii="Times New Roman" w:hAnsi="Times New Roman" w:eastAsia="楷体"/>
          <w:b/>
          <w:color w:val="000000"/>
          <w:sz w:val="21"/>
        </w:rPr>
        <w:t>图表：2023-2025年佛山市财政收入情况(单位:亿元、%)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800.77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767.08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800.27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4.33%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464.26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439.05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57.24%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982.86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919.99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920.81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0.09%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81.47%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83.38%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86.91%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477.03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492.77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376.06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-23.68%</w:t>
            </w:r>
          </w:p>
        </w:tc>
      </w:tr>
    </w:tbl>
    <w:p>
      <w:pPr>
        <w:spacing w:before="0" w:after="80" w:line="360" w:lineRule="auto"/>
        <w:ind w:firstLine="0"/>
      </w:pPr>
      <w:r>
        <w:rPr>
          <w:rFonts w:ascii="Times New Roman" w:hAnsi="Times New Roman" w:eastAsia="楷体"/>
          <w:b w:val="0"/>
          <w:color w:val="000000"/>
          <w:sz w:val="19"/>
        </w:rPr>
        <w:t>资料来源:佛山市财政决算、企业预警通,风控信评部整理</w:t>
      </w:r>
    </w:p>
    <w:p>
      <w:pPr>
        <w:spacing w:before="0" w:after="60" w:line="360" w:lineRule="auto"/>
        <w:ind w:firstLine="420"/>
      </w:pPr>
      <w:r>
        <w:rPr>
          <w:rFonts w:ascii="Times New Roman" w:hAnsi="Times New Roman" w:eastAsia="楷体"/>
          <w:b w:val="0"/>
          <w:color w:val="000000"/>
          <w:sz w:val="21"/>
        </w:rPr>
        <w:t>土地市场方面，2021、2022、2023、2024、2025年佛山市经营性用地成交价分别为937.48亿元、421.35亿元、439.23亿元、375.15亿元、356.51亿元，2025年较2021年下降61.97%；同期平均溢价率为16.59%、0.82%、5.97%、0.37%、2.18%，整体处于低位、反映市场化主体拿地意愿与未来房价预期偏弱；成交楼面均价由3,641元/㎡降至1,027元/㎡、累计下降71.79%。2026年1-4月，佛山市经营性用地累计成交80宗、规划建面737.37万㎡、成交价45.62亿元，延续低位运行。</w:t>
      </w:r>
    </w:p>
    <w:p>
      <w:pPr>
        <w:spacing w:before="80" w:after="40" w:line="360" w:lineRule="auto"/>
        <w:ind w:firstLine="0"/>
        <w:jc w:val="center"/>
      </w:pPr>
      <w:r>
        <w:rPr>
          <w:rFonts w:ascii="Times New Roman" w:hAnsi="Times New Roman" w:eastAsia="楷体"/>
          <w:b/>
          <w:color w:val="000000"/>
          <w:sz w:val="21"/>
        </w:rPr>
        <w:t>图表:2021-2025年佛山市土地出让情况</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年度</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土地宗数</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规划建面(万㎡)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成交楼面均价(元/㎡)</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平均溢价率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成交价(亿元)</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2,574.83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3,641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16.59%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937.48</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3,333.37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1,264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0.82%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421.35</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3,286.30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1,337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5.97%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439.23</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3,234.00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1,154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0.37%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375.15</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3,440.36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1,027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356.51</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2026年1-4月</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737.37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45.62</w:t>
            </w:r>
          </w:p>
        </w:tc>
      </w:tr>
    </w:tbl>
    <w:p>
      <w:pPr>
        <w:spacing w:before="0" w:after="80" w:line="360" w:lineRule="auto"/>
        <w:ind w:firstLine="0"/>
      </w:pPr>
      <w:r>
        <w:rPr>
          <w:rFonts w:ascii="Times New Roman" w:hAnsi="Times New Roman" w:eastAsia="楷体"/>
          <w:b w:val="0"/>
          <w:color w:val="000000"/>
          <w:sz w:val="19"/>
        </w:rPr>
        <w:t>资料来源:中指数据库,风控信评部整理</w:t>
      </w:r>
    </w:p>
    <w:p>
      <w:pPr>
        <w:spacing w:before="0" w:after="60" w:line="360" w:lineRule="auto"/>
        <w:ind w:firstLine="420"/>
      </w:pPr>
      <w:r>
        <w:rPr>
          <w:rFonts w:ascii="Times New Roman" w:hAnsi="Times New Roman" w:eastAsia="楷体"/>
          <w:b w:val="0"/>
          <w:color w:val="000000"/>
          <w:sz w:val="21"/>
        </w:rPr>
        <w:t>从房地产销售看，2021-2025年佛山市商品住宅成交面积由1,121.23万㎡变动至384.97万㎡、累计下降65.7%；新房均价2025年为16,192元/㎡、较2023年高点(19,565元/㎡)累计下跌17.24%；2025年去化周期17.38个月。二手房市场仍处于深度调整，据中指冰山指数(最低挂牌价口径)，佛山二手房挂牌价较2018年7月高点累计下跌37.80%，2023年累计跌幅-7.59%、2024年累计跌幅-14.02%、2025年累计跌幅-13.23%。</w:t>
      </w:r>
    </w:p>
    <w:p>
      <w:pPr>
        <w:spacing w:before="0" w:after="60" w:line="360" w:lineRule="auto"/>
        <w:ind w:firstLine="420"/>
      </w:pPr>
      <w:r>
        <w:rPr>
          <w:rFonts w:ascii="Times New Roman" w:hAnsi="Times New Roman" w:eastAsia="楷体"/>
          <w:b w:val="0"/>
          <w:color w:val="000000"/>
          <w:sz w:val="21"/>
        </w:rPr>
        <w:t>政府债务方面，2023、2024、2025年末佛山市地方政府债务余额分别为2,750.72亿元、3,136.77亿元、3,573.69亿元，两年累计增长29.92%，主要源于地方专项债加快发行及置换债集中落地；2025年末债务限额3,592.60亿元，债务余额控制在限额以内。城投有息债务方面，2025年末估算余额为2,631.75亿元，较2023年末增长46.60%。债务率指标看，2025年末佛山市政府债务率302.80%、城投债务率222.99%、宽口径债务率525.79%，较2023年末抬升171.03个百分点，显著高于公认的300%偏高临界线、在全国主要城市中处于较高水平。值得注意的是，政府性基金收入下滑是债务率分母端走低的重要因素，叠加债务规模快速扩张，对债务率指标形成放大效应。</w:t>
      </w:r>
    </w:p>
    <w:p>
      <w:pPr>
        <w:spacing w:before="0" w:after="60" w:line="360" w:lineRule="auto"/>
        <w:ind w:firstLine="420"/>
      </w:pPr>
      <w:r>
        <w:rPr>
          <w:rFonts w:ascii="Times New Roman" w:hAnsi="Times New Roman" w:eastAsia="楷体"/>
          <w:b w:val="0"/>
          <w:color w:val="000000"/>
          <w:sz w:val="21"/>
        </w:rPr>
        <w:t>综合来看，佛山市作为珠三角制造强市，经济实力较强、产业根基扎实、区域信用环境较为稳健。我们预计宽口径债务率短期内将维持高位，需重点关注后续化债进展、土地市场企稳情况以及融资平台合规整改对城投平台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