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广州市信用评级报告(区域部分)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广州作为广东省省会，经济总量列广东省第二位，人均GDP约16.83万元、人均经济实力居全省前列，经济体量稳居全省前列、服务业占比高、综合实力雄厚。</w:t>
      </w:r>
    </w:p>
    <w:p>
      <w:pPr>
        <w:spacing w:before="0" w:after="60" w:line="360" w:lineRule="auto"/>
        <w:ind w:firstLine="420"/>
      </w:pPr>
      <w:r>
        <w:rPr>
          <w:rFonts w:ascii="Times New Roman" w:hAnsi="Times New Roman" w:eastAsia="楷体"/>
          <w:b w:val="0"/>
          <w:color w:val="000000"/>
          <w:sz w:val="21"/>
        </w:rPr>
        <w:t>广州市为广东省省会、国家中心城市、粤港澳大湾区区域发展核心引擎，是华南地区的政治、经济、科教、文化和综合交通中心，“千年商都”底蕴深厚。2023、2024、2025年，广州市地区生产总值分别为30,723.56亿元、30,903.42亿元、32,039.46亿元，同比增长4.59%、2.00%、4.00%，由4.59%回落至4.00%、有所放缓。截至2025年末，全市常住人口1910.10万人，人均GDP约16.83万元。</w:t>
      </w:r>
    </w:p>
    <w:p>
      <w:pPr>
        <w:spacing w:before="0" w:after="60" w:line="360" w:lineRule="auto"/>
        <w:ind w:firstLine="420"/>
      </w:pPr>
      <w:r>
        <w:rPr>
          <w:rFonts w:ascii="Times New Roman" w:hAnsi="Times New Roman" w:eastAsia="楷体"/>
          <w:b w:val="0"/>
          <w:color w:val="000000"/>
          <w:sz w:val="21"/>
        </w:rPr>
        <w:t>产业结构方面，2025年广州市三次产业结构为0.99:24.06:74.95，第二产业以汽车制造、电子信息、石油化工、电气机械为支柱，聚集广汽集团、广汽埃安、广州石化、视源股份等企业；第三产业以商贸会展、金融、现代物流、文旅为依托，广交会是全国对外贸易的重要平台，白云机场、广州港是华南门户；全市集聚中山大学、华南理工大学等众多高校，科教资源居华南前列。</w:t>
      </w:r>
    </w:p>
    <w:p>
      <w:pPr>
        <w:spacing w:before="0" w:after="60" w:line="360" w:lineRule="auto"/>
        <w:ind w:firstLine="420"/>
      </w:pPr>
      <w:r>
        <w:rPr>
          <w:rFonts w:ascii="Times New Roman" w:hAnsi="Times New Roman" w:eastAsia="楷体"/>
          <w:b w:val="0"/>
          <w:color w:val="000000"/>
          <w:sz w:val="21"/>
        </w:rPr>
        <w:t>经济动能方面，2023、2024、2025年广州市固定资产投资增速分别为3.60%、0.15%、-6.70%，在房地产投资承压、部分大型项目接续不足的背景下有所走弱；2025年社会消费品零售总额11,032.38亿元，进出口总额1,737.00亿美元。</w:t>
      </w:r>
    </w:p>
    <w:p>
      <w:pPr>
        <w:spacing w:before="80" w:after="40" w:line="360" w:lineRule="auto"/>
        <w:ind w:firstLine="0"/>
        <w:jc w:val="center"/>
      </w:pPr>
      <w:r>
        <w:rPr>
          <w:rFonts w:ascii="Times New Roman" w:hAnsi="Times New Roman" w:eastAsia="楷体"/>
          <w:b/>
          <w:color w:val="000000"/>
          <w:sz w:val="21"/>
        </w:rPr>
        <w:t>图表：2025年广东省各地级市主要经济指标对比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深圳市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38,731.80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0.1:37.4:62.5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4,163.77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1824.85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广州市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32,039.46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0.99:24.06:74.95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1910.10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佛山市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13,157.35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1.9:49.6:48.5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800.27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东莞市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12,760.20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0.3:56.1:43.6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1080.04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惠州市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5.24:53.18:41.58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619.30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珠海市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4,573.10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494.10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江门市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4,293.91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8.7:43.1:48.2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中山市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4,260.56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茂名市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4,106.40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18.1:27.3:54.5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626.46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湛江市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3,952.94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18.6:32.6:48.8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712.29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汕头市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3,023.83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4.7:37.6:57.7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557.69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肇庆市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2,974.84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揭阳市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2,553.75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9.7:35:55.3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568.72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清远市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2,317.47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208.12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韶关市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15.2:31.1:53.7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283.39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阳江市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1,671.22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262.86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梅州市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1,583.23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17.9:29.7:52.4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381.56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汕尾市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1,546.30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潮州市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1,452.17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9.8:44.5:45.7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257.88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河源市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1,434.57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13.3:33.7:53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281.42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云浮市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1,344.87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18.1:26.3:55.6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238.96</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广州市2025年GDP总量32,039.46亿元、列全省第二位；一般公共预算收入2,184.82亿元、列全省第二位。整体来看，广州市在广东省内的经济与财政地位较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广州市财政体量在广东省位居前列，税收占比处于70%以上的较高水平、显著高于全国地级市平均、财政质量较好；但受房地产市场调整影响，政府性基金收入较2023年累计缩水超三成、土地财政贡献度显著弱化；2025年末宽口径债务率402.57%、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广州市一般公共预算收入分别为1,945.10亿元、1,954.70亿元、2,184.82亿元，在广东省内位居前列；其中税收收入分别为1,369.75亿元、1,372.37亿元、1,570.00亿元，税收占比维持在70.42%、70.21%、71.86%，处于70%以上的较高水平、显著高于全国地级市平均、财政质量较好。一般公共预算支出分别为2,971.60亿元、2,782.50亿元、2,801.54亿元，财政自给率65.46%、70.25%、77.99%，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广州市政府性基金收入分别为1,621.90亿元、1,281.70亿元、1,000.00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图表：2023-2025年广州市财政收入情况(单位:亿元、%)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1,954.70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11.77%</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1,369.75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1,372.37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1,570.00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2,971.60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2,782.50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2,801.54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0.68%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77.99%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1,621.90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1,281.70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1,000.00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-21.98%</w:t>
            </w:r>
          </w:p>
        </w:tc>
      </w:tr>
    </w:tbl>
    <w:p>
      <w:pPr>
        <w:spacing w:before="0" w:after="80" w:line="360" w:lineRule="auto"/>
        <w:ind w:firstLine="0"/>
      </w:pPr>
      <w:r>
        <w:rPr>
          <w:rFonts w:ascii="Times New Roman" w:hAnsi="Times New Roman" w:eastAsia="楷体"/>
          <w:b w:val="0"/>
          <w:color w:val="000000"/>
          <w:sz w:val="19"/>
        </w:rPr>
        <w:t>资料来源:广州市财政决算、企业预警通,风控信评部整理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广州市经营性用地成交价分别为2,524.20亿元、1,561.60亿元、1,558.13亿元、971.45亿元、681.60亿元，2025年较2021年下降73.00%；同期平均溢价率为5.12%、1.27%、5.44%、3.43%、3.18%，整体处于低位、反映市场化主体拿地意愿与未来房价预期偏弱；成交楼面均价由6,607元/㎡降至2,059元/㎡、累计下降68.84%。2026年1-4月，广州市经营性用地累计成交71宗、规划建面1061.18万㎡、成交价324.76亿元，延续低位运行。</w:t>
      </w:r>
    </w:p>
    <w:p>
      <w:pPr>
        <w:spacing w:before="80" w:after="40" w:line="360" w:lineRule="auto"/>
        <w:ind w:firstLine="0"/>
        <w:jc w:val="center"/>
      </w:pPr>
      <w:r>
        <w:rPr>
          <w:rFonts w:ascii="Times New Roman" w:hAnsi="Times New Roman" w:eastAsia="楷体"/>
          <w:b/>
          <w:color w:val="000000"/>
          <w:sz w:val="21"/>
        </w:rPr>
        <w:t>图表:2021-2025年广州市土地出让情况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3,819.71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6,607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2,524.20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3,286.13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4,752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1,561.60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4,306.03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1,558.13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3,423.84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2,837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971.45</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349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3,308.03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2,059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681.60</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1061.18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324.76</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广州市商品住宅成交面积由1,267.55万㎡变动至740.60万㎡、累计下降41.6%；新房均价2025年为32,703元/㎡、较2023年高点(38,000元/㎡)累计下跌13.94%；2025年去化周期26.64个月。二手房市场仍处于深度调整，据中指冰山指数(最低挂牌价口径)，广州二手房挂牌价较2018年7月高点累计下跌41.84%，2023年累计跌幅-8.34%、2024年累计跌幅-13.64%、2025年累计跌幅-12.67%。</w:t>
      </w:r>
    </w:p>
    <w:p>
      <w:pPr>
        <w:spacing w:before="0" w:after="60" w:line="360" w:lineRule="auto"/>
        <w:ind w:firstLine="420"/>
      </w:pPr>
      <w:r>
        <w:rPr>
          <w:rFonts w:ascii="Times New Roman" w:hAnsi="Times New Roman" w:eastAsia="楷体"/>
          <w:b w:val="0"/>
          <w:color w:val="000000"/>
          <w:sz w:val="21"/>
        </w:rPr>
        <w:t>政府债务方面，2023、2024、2025年末广州市地方政府债务余额分别为5,532.23亿元、6,482.84亿元、7,458.30亿元，两年累计增长34.82%，主要源于地方专项债加快发行及置换债集中落地；2025年末债务限额7,566.73亿元，债务余额控制在限额以内。城投有息债务方面，2025年末估算余额为11,452.30亿元、规模在全国地级市中位居前列，较2023年末增长23.73%。债务率指标看，2025年末广州市政府债务率158.77%、城投债务率243.80%、宽口径债务率402.57%，较2023年末抬升121.60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广州市作为华南门户和省会，经济财政实力雄厚、产业体系完备、区域信用环境较为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