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惠州市信用评级报告(区域部分)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惠州作为广东省下辖地级市，经济总量列广东省第五位，人均GDP约10.34万元、人均经济实力居全省前列，产业承接与临港石化优势明显、增长动能较足。</w:t>
      </w:r>
    </w:p>
    <w:p>
      <w:pPr>
        <w:spacing w:before="0" w:after="60" w:line="360" w:lineRule="auto"/>
        <w:ind w:firstLine="420"/>
      </w:pPr>
      <w:r>
        <w:rPr>
          <w:rFonts w:ascii="Times New Roman" w:hAnsi="Times New Roman" w:eastAsia="楷体"/>
          <w:b w:val="0"/>
          <w:color w:val="000000"/>
          <w:sz w:val="21"/>
        </w:rPr>
        <w:t>惠州市为广东省地级市，地处粤港澳大湾区东岸，是深圳、东莞产业外溢的重要承接地。2023、2024、2025年，惠州市地区生产总值分别为5,944.71亿元、6,183.02亿元、6,363.66亿元，同比增长5.78%、4.40%、4.51%，由5.78%回落至4.51%、有所放缓。截至2025年末，全市常住人口619.30万人，人均GDP约10.34万元。</w:t>
      </w:r>
    </w:p>
    <w:p>
      <w:pPr>
        <w:spacing w:before="0" w:after="60" w:line="360" w:lineRule="auto"/>
        <w:ind w:firstLine="420"/>
      </w:pPr>
      <w:r>
        <w:rPr>
          <w:rFonts w:ascii="Times New Roman" w:hAnsi="Times New Roman" w:eastAsia="楷体"/>
          <w:b w:val="0"/>
          <w:color w:val="000000"/>
          <w:sz w:val="21"/>
        </w:rPr>
        <w:t>产业结构方面，2025年惠州市三次产业结构为5.24:53.18:41.58，以电子信息和石油化工“2+1”现代产业集群为支柱，聚集TCL、德赛、亿纬锂能及大亚湾石化区（中海壳牌等），先进制造与能源化工并重。</w:t>
      </w:r>
    </w:p>
    <w:p>
      <w:pPr>
        <w:spacing w:before="0" w:after="60" w:line="360" w:lineRule="auto"/>
        <w:ind w:firstLine="420"/>
      </w:pPr>
      <w:r>
        <w:rPr>
          <w:rFonts w:ascii="Times New Roman" w:hAnsi="Times New Roman" w:eastAsia="楷体"/>
          <w:b w:val="0"/>
          <w:color w:val="000000"/>
          <w:sz w:val="21"/>
        </w:rPr>
        <w:t>经济动能方面，2023、2024、2025年惠州市固定资产投资增速分别为5.30%、-19.39%、-23.80%，在房地产投资承压、部分大型项目接续不足的背景下有所走弱；2025年社会消费品零售总额2,093.22亿元，进出口总额599.55亿美元。</w:t>
      </w:r>
    </w:p>
    <w:p>
      <w:pPr>
        <w:spacing w:before="80" w:after="40" w:line="360" w:lineRule="auto"/>
        <w:ind w:firstLine="0"/>
        <w:jc w:val="center"/>
      </w:pPr>
      <w:r>
        <w:rPr>
          <w:rFonts w:ascii="Times New Roman" w:hAnsi="Times New Roman" w:eastAsia="楷体"/>
          <w:b/>
          <w:color w:val="000000"/>
          <w:sz w:val="21"/>
        </w:rPr>
        <w:t>图表：2025年广东省各地级市主要经济指标对比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深圳市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38,731.80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0.1:37.4:62.5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4,163.77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1824.85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广州市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32,039.46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0.99:24.06:74.95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2,184.82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1910.10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佛山市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13,157.35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1.9:49.6:48.5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800.27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东莞市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12,760.20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0.3:56.1:43.6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891.73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1080.04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惠州市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6,363.66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5.24:53.18:41.58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538.68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619.30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珠海市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4,573.10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494.10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江门市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4,293.91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8.7:43.1:48.2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324.85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482.85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中山市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4,260.56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380.01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茂名市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4,106.40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18.1:27.3:54.5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186.64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626.46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湛江市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3,952.94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18.6:32.6:48.8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712.29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汕头市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3,023.83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4.7:37.6:57.7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170.33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557.69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肇庆市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2,974.84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240.19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揭阳市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2,553.75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9.7:35:55.3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568.72</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清远市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2,317.47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208.12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韶关市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1,705.10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15.2:31.1:53.7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120.14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283.39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阳江市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1,671.22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115.37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262.86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梅州市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1,583.23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17.9:29.7:52.4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121.35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381.56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汕尾市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1,546.30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潮州市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1,452.17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9.8:44.5:45.7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257.88</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河源市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1,434.57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13.3:33.7:53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281.42</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云浮市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1,344.87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18.1:26.3:55.6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238.96</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惠州市2025年GDP总量6,363.66亿元、列全省第五位；一般公共预算收入538.68亿元、列全省第五位。整体来看，惠州市在广东省内的经济与财政地位处于中游，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惠州市财政体量在广东省处于中游，税收占比偏低、非税收入占比相对较高、财政质量有待优化；但受房地产市场调整影响，政府性基金收入较2023年累计缩水超三成、土地财政贡献度显著弱化；2025年末宽口径债务率446.69%、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惠州市一般公共预算收入分别为473.30亿元、476.10亿元、538.68亿元，在广东省内处于中游；其中税收收入分别为282.50亿元、251.50亿元、300.80亿元，税收占比维持在59.69%、52.83%、55.84%，偏低、非税收入占比相对较高、财政质量有待优化。一般公共预算支出分别为726.73亿元、703.40亿元、705.24亿元，财政自给率65.13%、67.69%、76.38%，财政自给率处于中等水平。</w:t>
      </w:r>
    </w:p>
    <w:p>
      <w:pPr>
        <w:spacing w:before="0" w:after="60" w:line="360" w:lineRule="auto"/>
        <w:ind w:firstLine="420"/>
      </w:pPr>
      <w:r>
        <w:rPr>
          <w:rFonts w:ascii="Times New Roman" w:hAnsi="Times New Roman" w:eastAsia="楷体"/>
          <w:b w:val="0"/>
          <w:color w:val="000000"/>
          <w:sz w:val="21"/>
        </w:rPr>
        <w:t>政府性基金收入方面，2023、2024、2025年惠州市政府性基金收入分别为182.88亿元、111.70亿元、90.70亿元，较2023年累计缩水超三成、土地财政贡献度显著弱化，反映地方综合财力对房地产周期与土地市场的敞口较大。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图表：2023-2025年惠州市财政收入情况(单位:亿元、%)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538.68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13.14%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282.50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251.50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300.80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19.60%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726.73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703.40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705.24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0.26%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76.38%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182.88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-38.92%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-18.80%</w:t>
            </w:r>
          </w:p>
        </w:tc>
      </w:tr>
    </w:tbl>
    <w:p>
      <w:pPr>
        <w:spacing w:before="0" w:after="80" w:line="360" w:lineRule="auto"/>
        <w:ind w:firstLine="0"/>
      </w:pPr>
      <w:r>
        <w:rPr>
          <w:rFonts w:ascii="Times New Roman" w:hAnsi="Times New Roman" w:eastAsia="楷体"/>
          <w:b w:val="0"/>
          <w:color w:val="000000"/>
          <w:sz w:val="19"/>
        </w:rPr>
        <w:t>资料来源:惠州市财政决算、企业预警通,风控信评部整理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惠州市经营性用地成交价分别为290.99亿元、190.28亿元、200.11亿元、92.54亿元、143.24亿元，2025年较2021年下降50.77%；同期平均溢价率为9.62%、0.86%、0.07%、0.04%、0.00%，整体处于低位、反映市场化主体拿地意愿与未来房价预期偏弱；成交楼面均价由1,001元/㎡降至927元/㎡、累计下降7.39%。2026年1-4月，惠州市经营性用地累计成交83宗、规划建面488.41万㎡、成交价32.83亿元，延续低位运行。</w:t>
      </w:r>
    </w:p>
    <w:p>
      <w:pPr>
        <w:spacing w:before="80" w:after="40" w:line="360" w:lineRule="auto"/>
        <w:ind w:firstLine="0"/>
        <w:jc w:val="center"/>
      </w:pPr>
      <w:r>
        <w:rPr>
          <w:rFonts w:ascii="Times New Roman" w:hAnsi="Times New Roman" w:eastAsia="楷体"/>
          <w:b/>
          <w:color w:val="000000"/>
          <w:sz w:val="21"/>
        </w:rPr>
        <w:t>图表:2021-2025年惠州市土地出让情况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2,904.45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1,001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9.62%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290.99</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2,624.61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0.86%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190.28</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2,139.08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0.07%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200.11</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1,732.78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0.04%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92.54</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1,540.13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927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0.00%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143.24</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488.41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32.83</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惠州市商品住宅成交面积由1,030.76万㎡变动至327.98万㎡、累计下降68.2%；新房均价2025年为8,622元/㎡、较2023年高点(13,281元/㎡)累计下跌35.08%；2025年去化周期31.56个月。二手房市场仍处于深度调整，据中指冰山指数(最低挂牌价口径)，惠州二手房挂牌价较2021年5月高点累计下跌47.43%，2023年累计跌幅-17.83%、2024年累计跌幅-16.15%、2025年累计跌幅-11.15%。</w:t>
      </w:r>
    </w:p>
    <w:p>
      <w:pPr>
        <w:spacing w:before="0" w:after="60" w:line="360" w:lineRule="auto"/>
        <w:ind w:firstLine="420"/>
      </w:pPr>
      <w:r>
        <w:rPr>
          <w:rFonts w:ascii="Times New Roman" w:hAnsi="Times New Roman" w:eastAsia="楷体"/>
          <w:b w:val="0"/>
          <w:color w:val="000000"/>
          <w:sz w:val="21"/>
        </w:rPr>
        <w:t>政府债务方面，2023、2024、2025年末惠州市地方政府债务余额分别为1,231.42亿元、1,508.41亿元、1,759.82亿元，两年累计增长42.91%，主要源于地方专项债加快发行及置换债集中落地；2025年末债务限额1,766.87亿元，债务余额控制在限额以内。城投有息债务方面，2025年末估算余额为1,145.80亿元，较2023年末增长52.69%。债务率指标看，2025年末惠州市政府债务率270.54%、城投债务率176.15%、宽口径债务率446.69%，较2023年末抬升151.86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惠州市依托大湾区区位与石化电子双支柱，经济成长性较好、区域信用环境总体可控。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