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360" w:lineRule="auto"/>
        <w:ind w:firstLine="0"/>
        <w:jc w:val="center"/>
      </w:pPr>
      <w:r>
        <w:rPr>
          <w:rFonts w:ascii="Times New Roman" w:hAnsi="Times New Roman" w:eastAsia="楷体"/>
          <w:b/>
          <w:color w:val="000000"/>
          <w:sz w:val="28"/>
        </w:rPr>
        <w:t>常州市信用评级报告(区域部分)</w:t>
      </w:r>
    </w:p>
    <w:p>
      <w:pPr>
        <w:spacing w:before="200" w:after="100" w:line="360" w:lineRule="auto"/>
        <w:ind w:firstLine="0"/>
      </w:pPr>
      <w:r>
        <w:rPr>
          <w:rFonts w:ascii="Times New Roman" w:hAnsi="Times New Roman" w:eastAsia="楷体"/>
          <w:b/>
          <w:color w:val="000000"/>
          <w:sz w:val="21"/>
        </w:rPr>
        <w:t>一、区域经济分析</w:t>
      </w:r>
    </w:p>
    <w:p>
      <w:pPr>
        <w:spacing w:before="120" w:after="60" w:line="360" w:lineRule="auto"/>
        <w:ind w:firstLine="0"/>
      </w:pPr>
      <w:r>
        <w:rPr>
          <w:rFonts w:ascii="Times New Roman" w:hAnsi="Times New Roman" w:eastAsia="楷体"/>
          <w:b/>
          <w:color w:val="000000"/>
          <w:sz w:val="21"/>
        </w:rPr>
        <w:t>■ 常州作为江苏省下辖地级市，经济总量列江苏省第五位，人均GDP约20.70万元、人均经济实力居全省中游，新能源产业崛起、制造业转型升级动能强。</w:t>
      </w:r>
    </w:p>
    <w:p>
      <w:pPr>
        <w:spacing w:before="0" w:after="60" w:line="360" w:lineRule="auto"/>
        <w:ind w:firstLine="420"/>
      </w:pPr>
      <w:r>
        <w:rPr>
          <w:rFonts w:ascii="Times New Roman" w:hAnsi="Times New Roman" w:eastAsia="楷体"/>
          <w:b w:val="0"/>
          <w:color w:val="000000"/>
          <w:sz w:val="21"/>
        </w:rPr>
        <w:t>常州市为江苏省地级市，地处苏南、长三角中轴，是先进制造业基地和新兴的“新能源之都”。2023、2024、2025年，常州市地区生产总值分别为10,297.36亿元、10,813.59亿元、11,158.70亿元，同比增长6.60%、6.10%、5.20%，由6.60%回落至5.20%、有所放缓。截至2025年末，全市常住人口541.54万人，人均GDP约20.70万元。</w:t>
      </w:r>
    </w:p>
    <w:p>
      <w:pPr>
        <w:spacing w:before="0" w:after="60" w:line="360" w:lineRule="auto"/>
        <w:ind w:firstLine="420"/>
      </w:pPr>
      <w:r>
        <w:rPr>
          <w:rFonts w:ascii="Times New Roman" w:hAnsi="Times New Roman" w:eastAsia="楷体"/>
          <w:b w:val="0"/>
          <w:color w:val="000000"/>
          <w:sz w:val="21"/>
        </w:rPr>
        <w:t>产业结构方面，2025年常州市三次产业结构为1.6:46.2:52.2，以高端装备制造、新能源（动力电池、整车、光伏）、新材料为支柱，聚集中创新航、理想汽车常州基地、蜂巢能源等企业，新能源产业链集聚度高。</w:t>
      </w:r>
    </w:p>
    <w:p>
      <w:pPr>
        <w:spacing w:before="0" w:after="60" w:line="360" w:lineRule="auto"/>
        <w:ind w:firstLine="420"/>
      </w:pPr>
      <w:r>
        <w:rPr>
          <w:rFonts w:ascii="Times New Roman" w:hAnsi="Times New Roman" w:eastAsia="楷体"/>
          <w:b w:val="0"/>
          <w:color w:val="000000"/>
          <w:sz w:val="21"/>
        </w:rPr>
        <w:t>经济动能方面，2023、2024、2025年常州市固定资产投资增速分别为2.50%、1.30%、-19.00%，在房地产投资承压、部分大型项目接续不足的背景下有所走弱；2025年社会消费品零售总额2,918.10亿元，进出口总额521.06亿美元。</w:t>
      </w:r>
    </w:p>
    <w:p>
      <w:pPr>
        <w:spacing w:before="80" w:after="40" w:line="360" w:lineRule="auto"/>
        <w:ind w:firstLine="0"/>
        <w:jc w:val="center"/>
      </w:pPr>
      <w:r>
        <w:rPr>
          <w:rFonts w:ascii="Times New Roman" w:hAnsi="Times New Roman" w:eastAsia="楷体"/>
          <w:b/>
          <w:color w:val="000000"/>
          <w:sz w:val="21"/>
        </w:rPr>
        <w:t>图表：2025年江苏省各地级市主要经济指标对比</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地级市</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人均GDP(万元)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GDP增速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三次产业结构</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一般预算(亿元)</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常住人口(万人)</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苏州市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27,695.10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21.30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0.7:46.4:52.9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2,490.23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1304.77</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南京市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19,428.78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1.7:30.2:68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1,620.91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963.85</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无锡市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16,773.94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22.30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0.9:46.9:52.2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1,225.39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753.74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南通市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12,801.50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4.2:46.1:49.7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730.04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常州市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11,158.70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20.70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1.6:46.2:52.2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715.47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541.54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徐州市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9,957.22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575.33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扬州市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8,056.75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5.50%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376.30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盐城市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8,045.30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515.74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泰州市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7,255.27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475.49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镇江市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5,736.78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3:45:52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339.03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淮安市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5,630.11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12.49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5.90%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335.33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449.34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宿迁市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5,026.60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5.60%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 xml:space="preserve"> </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316.56</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连云港市</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4,830.94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5.00%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9.9:42.6:47.5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305.74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456.20</w:t>
            </w:r>
          </w:p>
        </w:tc>
      </w:tr>
    </w:tbl>
    <w:p>
      <w:pPr>
        <w:spacing w:before="0" w:after="80" w:line="360" w:lineRule="auto"/>
        <w:ind w:firstLine="0"/>
      </w:pPr>
      <w:r>
        <w:rPr>
          <w:rFonts w:ascii="Times New Roman" w:hAnsi="Times New Roman" w:eastAsia="楷体"/>
          <w:b w:val="0"/>
          <w:color w:val="000000"/>
          <w:sz w:val="19"/>
        </w:rPr>
        <w:t>资料来源：各市统计公报、企业预警通，风控信评部整理。注：部分城市人均GDP系按当年GDP与常住人口估算。</w:t>
      </w:r>
    </w:p>
    <w:p>
      <w:pPr>
        <w:spacing w:before="0" w:after="60" w:line="360" w:lineRule="auto"/>
        <w:ind w:firstLine="420"/>
      </w:pPr>
      <w:r>
        <w:rPr>
          <w:rFonts w:ascii="Times New Roman" w:hAnsi="Times New Roman" w:eastAsia="楷体"/>
          <w:b w:val="0"/>
          <w:color w:val="000000"/>
          <w:sz w:val="21"/>
        </w:rPr>
        <w:t>省内对比看，常州市2025年GDP总量11,158.70亿元、列全省第五位；一般公共预算收入715.47亿元、列全省第五位。整体来看，常州市在江苏省内的经济与财政地位处于中游，但放到同类城市横向看，产业结构升级与新旧动能转换仍是中长期需要关注的核心课题。</w:t>
      </w:r>
    </w:p>
    <w:p>
      <w:pPr>
        <w:spacing w:before="120" w:after="60" w:line="360" w:lineRule="auto"/>
        <w:ind w:firstLine="0"/>
      </w:pPr>
      <w:r>
        <w:rPr>
          <w:rFonts w:ascii="Times New Roman" w:hAnsi="Times New Roman" w:eastAsia="楷体"/>
          <w:b/>
          <w:color w:val="000000"/>
          <w:sz w:val="21"/>
        </w:rPr>
        <w:t>■ 常州市财政体量在江苏省处于中游，税收占比处于70%以上的较高水平、显著高于全国地级市平均、财政质量较好；但受房地产市场调整影响，政府性基金收入较2023年累计缩水超三成、土地财政贡献度显著弱化；2025年末宽口径债务率991.24%、处于偏高水平，已显著高于公认的 300% 偏高临界线，后续偿债压力值得关注。</w:t>
      </w:r>
    </w:p>
    <w:p>
      <w:pPr>
        <w:spacing w:before="0" w:after="60" w:line="360" w:lineRule="auto"/>
        <w:ind w:firstLine="420"/>
      </w:pPr>
      <w:r>
        <w:rPr>
          <w:rFonts w:ascii="Times New Roman" w:hAnsi="Times New Roman" w:eastAsia="楷体"/>
          <w:b w:val="0"/>
          <w:color w:val="000000"/>
          <w:sz w:val="21"/>
        </w:rPr>
        <w:t>财政收入方面，2023、2024、2025年常州市一般公共预算收入分别为680.30亿元、697.80亿元、715.47亿元，在江苏省内处于中游；其中税收收入分别为585.34亿元、586.52亿元、611.41亿元，税收占比维持在86.04%、84.05%、85.45%，处于70%以上的较高水平、显著高于全国地级市平均、财政质量较好。一般公共预算支出分别为854.77亿元、890.07亿元、832.84亿元，财政自给率79.59%、78.40%、85.91%，财政自给率处于较高水平。</w:t>
      </w:r>
    </w:p>
    <w:p>
      <w:pPr>
        <w:spacing w:before="0" w:after="60" w:line="360" w:lineRule="auto"/>
        <w:ind w:firstLine="420"/>
      </w:pPr>
      <w:r>
        <w:rPr>
          <w:rFonts w:ascii="Times New Roman" w:hAnsi="Times New Roman" w:eastAsia="楷体"/>
          <w:b w:val="0"/>
          <w:color w:val="000000"/>
          <w:sz w:val="21"/>
        </w:rPr>
        <w:t>政府性基金收入方面，2023、2024、2025年常州市政府性基金收入分别为1,396.20亿元、976.17亿元、413.71亿元，较2023年累计缩水超三成、土地财政贡献度显著弱化，反映地方综合财力对房地产周期与土地市场的敞口较大。</w:t>
      </w:r>
    </w:p>
    <w:p>
      <w:pPr>
        <w:spacing w:before="80" w:after="40" w:line="360" w:lineRule="auto"/>
        <w:ind w:firstLine="0"/>
        <w:jc w:val="center"/>
      </w:pPr>
      <w:r>
        <w:rPr>
          <w:rFonts w:ascii="Times New Roman" w:hAnsi="Times New Roman" w:eastAsia="楷体"/>
          <w:b/>
          <w:color w:val="000000"/>
          <w:sz w:val="21"/>
        </w:rPr>
        <w:t>图表：2023-2025年常州市财政收入情况(单位:亿元、%)</w:t>
      </w:r>
    </w:p>
    <w:tbl>
      <w:tblPr>
        <w:tblW w:type="auto" w:w="0"/>
        <w:tblLayout w:type="autofit"/>
        <w:tblLook w:firstColumn="1" w:firstRow="1" w:lastColumn="0" w:lastRow="0" w:noHBand="0" w:noVBand="1" w:val="04A0"/>
      </w:tblPr>
      <w:tblGrid>
        <w:gridCol w:w="1344"/>
        <w:gridCol w:w="1344"/>
        <w:gridCol w:w="1344"/>
        <w:gridCol w:w="1344"/>
        <w:gridCol w:w="1344"/>
        <w:gridCol w:w="1344"/>
        <w:gridCol w:w="1344"/>
      </w:tblGrid>
      <w:tr>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项目</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2023年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2024年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2025年</w:t>
            </w:r>
          </w:p>
        </w:tc>
        <w:tc>
          <w:tcPr>
            <w:tcW w:type="dxa" w:w="1344"/>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增速</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680.30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7.70%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697.80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715.47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2.53%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 xml:space="preserve">　其中:税收收入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585.34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586.52</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611.41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4.24%</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税收占比</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86.04%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84.05%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85.45%</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一般公共预算支出</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854.77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890.07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4.13%</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832.84</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-6.43%</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财政自给率</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79.59%</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78.40%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85.91%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r>
      <w:tr>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政府性基金收入</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1,396.20</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976.17</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-30.08%</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413.71</w:t>
            </w:r>
          </w:p>
        </w:tc>
        <w:tc>
          <w:tcPr>
            <w:tcW w:type="dxa" w:w="1344"/>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-57.62%</w:t>
            </w:r>
          </w:p>
        </w:tc>
      </w:tr>
    </w:tbl>
    <w:p>
      <w:pPr>
        <w:spacing w:before="0" w:after="80" w:line="360" w:lineRule="auto"/>
        <w:ind w:firstLine="0"/>
      </w:pPr>
      <w:r>
        <w:rPr>
          <w:rFonts w:ascii="Times New Roman" w:hAnsi="Times New Roman" w:eastAsia="楷体"/>
          <w:b w:val="0"/>
          <w:color w:val="000000"/>
          <w:sz w:val="19"/>
        </w:rPr>
        <w:t>资料来源:常州市财政决算、企业预警通,风控信评部整理</w:t>
      </w:r>
    </w:p>
    <w:p>
      <w:pPr>
        <w:spacing w:before="0" w:after="60" w:line="360" w:lineRule="auto"/>
        <w:ind w:firstLine="420"/>
      </w:pPr>
      <w:r>
        <w:rPr>
          <w:rFonts w:ascii="Times New Roman" w:hAnsi="Times New Roman" w:eastAsia="楷体"/>
          <w:b w:val="0"/>
          <w:color w:val="000000"/>
          <w:sz w:val="21"/>
        </w:rPr>
        <w:t>土地市场方面，2021、2022、2023、2024、2025年常州市经营性用地成交价分别为1,266.45亿元、1,072.89亿元、1,139.44亿元、771.50亿元、476.93亿元，2025年较2021年下降62.34%；同期平均溢价率为7.29%、2.37%、0.91%、0.93%、0.38%，整体处于低位、反映市场化主体拿地意愿与未来房价预期偏弱；成交楼面均价由3,630元/㎡降至2,430元/㎡、累计下降33.06%。2026年1-4月，常州市经营性用地累计成交89宗、规划建面421.96万㎡、成交价35.20亿元，延续低位运行。</w:t>
      </w:r>
    </w:p>
    <w:p>
      <w:pPr>
        <w:spacing w:before="80" w:after="40" w:line="360" w:lineRule="auto"/>
        <w:ind w:firstLine="0"/>
        <w:jc w:val="center"/>
      </w:pPr>
      <w:r>
        <w:rPr>
          <w:rFonts w:ascii="Times New Roman" w:hAnsi="Times New Roman" w:eastAsia="楷体"/>
          <w:b/>
          <w:color w:val="000000"/>
          <w:sz w:val="21"/>
        </w:rPr>
        <w:t>图表:2021-2025年常州市土地出让情况</w:t>
      </w:r>
    </w:p>
    <w:tbl>
      <w:tblPr>
        <w:tblW w:type="auto" w:w="0"/>
        <w:tblLayout w:type="autofit"/>
        <w:tblLook w:firstColumn="1" w:firstRow="1" w:lastColumn="0" w:lastRow="0" w:noHBand="0" w:noVBand="1" w:val="04A0"/>
      </w:tblPr>
      <w:tblGrid>
        <w:gridCol w:w="1568"/>
        <w:gridCol w:w="1568"/>
        <w:gridCol w:w="1568"/>
        <w:gridCol w:w="1568"/>
        <w:gridCol w:w="1568"/>
        <w:gridCol w:w="1568"/>
      </w:tblGrid>
      <w:tr>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年度</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土地宗数</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规划建面(万㎡)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成交楼面均价(元/㎡)</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平均溢价率</w:t>
            </w:r>
          </w:p>
        </w:tc>
        <w:tc>
          <w:tcPr>
            <w:tcW w:type="dxa" w:w="1568"/>
            <w:vAlign w:val="center"/>
            <w:shd w:val="clear" w:color="auto" w:fill="F1A983"/>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color w:val="000000"/>
                <w:sz w:val="18"/>
              </w:rPr>
              <w:t>成交价(亿元)</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465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3,488.97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3,630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7.29%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1,266.45</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403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3,174.12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3,380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2.37%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1,072.89</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448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3,801.37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2,997</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0.91%</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1,139.44</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2024</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340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1,805.63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4,273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0.93%</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771.50</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2025</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332</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1,962.29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2,430</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0.38%</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476.93</w:t>
            </w:r>
          </w:p>
        </w:tc>
      </w:tr>
      <w:tr>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left"/>
            </w:pPr>
            <w:r/>
            <w:r>
              <w:rPr>
                <w:rFonts w:ascii="Times New Roman" w:hAnsi="Times New Roman" w:eastAsia="楷体"/>
                <w:b w:val="0"/>
                <w:color w:val="000000"/>
                <w:sz w:val="18"/>
              </w:rPr>
              <w:t>2026年1-4月</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89</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421.96</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w:t>
            </w:r>
          </w:p>
        </w:tc>
        <w:tc>
          <w:tcPr>
            <w:tcW w:type="dxa" w:w="1568"/>
            <w:vAlign w:val="center"/>
            <w:tcBorders>
              <w:top w:val="single" w:sz="4" w:color="A6A6A6"/>
              <w:left w:val="single" w:sz="4" w:color="A6A6A6"/>
              <w:bottom w:val="single" w:sz="4" w:color="A6A6A6"/>
              <w:right w:val="single" w:sz="4" w:color="A6A6A6"/>
            </w:tcBorders>
          </w:tcPr>
          <w:p>
            <w:pPr>
              <w:spacing w:before="0" w:after="0" w:line="276" w:lineRule="auto"/>
              <w:ind w:firstLine="0"/>
              <w:jc w:val="center"/>
            </w:pPr>
            <w:r/>
            <w:r>
              <w:rPr>
                <w:rFonts w:ascii="Times New Roman" w:hAnsi="Times New Roman" w:eastAsia="楷体"/>
                <w:b w:val="0"/>
                <w:color w:val="000000"/>
                <w:sz w:val="18"/>
              </w:rPr>
              <w:t>35.20</w:t>
            </w:r>
          </w:p>
        </w:tc>
      </w:tr>
    </w:tbl>
    <w:p>
      <w:pPr>
        <w:spacing w:before="0" w:after="80" w:line="360" w:lineRule="auto"/>
        <w:ind w:firstLine="0"/>
      </w:pPr>
      <w:r>
        <w:rPr>
          <w:rFonts w:ascii="Times New Roman" w:hAnsi="Times New Roman" w:eastAsia="楷体"/>
          <w:b w:val="0"/>
          <w:color w:val="000000"/>
          <w:sz w:val="19"/>
        </w:rPr>
        <w:t>资料来源:中指数据库,风控信评部整理</w:t>
      </w:r>
    </w:p>
    <w:p>
      <w:pPr>
        <w:spacing w:before="0" w:after="60" w:line="360" w:lineRule="auto"/>
        <w:ind w:firstLine="420"/>
      </w:pPr>
      <w:r>
        <w:rPr>
          <w:rFonts w:ascii="Times New Roman" w:hAnsi="Times New Roman" w:eastAsia="楷体"/>
          <w:b w:val="0"/>
          <w:color w:val="000000"/>
          <w:sz w:val="21"/>
        </w:rPr>
        <w:t>从房地产销售看，2021-2025年常州市商品住宅成交面积由766.42万㎡变动至157.08万㎡、累计下降79.5%；新房均价2025年为14,061元/㎡、较2023年高点(16,318元/㎡)累计下跌13.83%。二手房市场仍处于深度调整，据中指冰山指数(最低挂牌价口径)，常州二手房挂牌价较2021年10月高点累计下跌40.31%，2023年累计跌幅-12.14%、2024年累计跌幅-14.44%、2025年累计跌幅-12.67%。</w:t>
      </w:r>
    </w:p>
    <w:p>
      <w:pPr>
        <w:spacing w:before="0" w:after="60" w:line="360" w:lineRule="auto"/>
        <w:ind w:firstLine="420"/>
      </w:pPr>
      <w:r>
        <w:rPr>
          <w:rFonts w:ascii="Times New Roman" w:hAnsi="Times New Roman" w:eastAsia="楷体"/>
          <w:b w:val="0"/>
          <w:color w:val="000000"/>
          <w:sz w:val="21"/>
        </w:rPr>
        <w:t>政府债务方面，2023、2024、2025年末常州市地方政府债务余额分别为1,899.74亿元、2,443.69亿元、3,116.88亿元，两年累计增长64.07%，主要源于地方专项债加快发行及置换债集中落地；2025年末债务限额3,139.59亿元，债务余额控制在限额以内。城投有息债务方面，2025年末估算余额为8,232.58亿元、规模在全国地级市中位居前列，较2023年末增长9.78%。债务率指标看，2025年末常州市政府债务率272.22%、城投债务率719.02%、宽口径债务率991.24%，较2023年末抬升545.75个百分点，显著高于公认的300%偏高临界线、在全国主要城市中处于较高水平。值得注意的是，政府性基金收入下滑是债务率分母端走低的重要因素，叠加债务规模快速扩张，对债务率指标形成放大效应。</w:t>
      </w:r>
    </w:p>
    <w:p>
      <w:pPr>
        <w:spacing w:before="0" w:after="60" w:line="360" w:lineRule="auto"/>
        <w:ind w:firstLine="420"/>
      </w:pPr>
      <w:r>
        <w:rPr>
          <w:rFonts w:ascii="Times New Roman" w:hAnsi="Times New Roman" w:eastAsia="楷体"/>
          <w:b w:val="0"/>
          <w:color w:val="000000"/>
          <w:sz w:val="21"/>
        </w:rPr>
        <w:t>综合来看，常州市新能源产业优势突出、成长性好，区域信用环境较为稳健。我们预计宽口径债务率短期内将维持高位，需重点关注后续化债进展、土地市场企稳情况以及融资平台合规整改对城投平台再融资能力的影响。</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楷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