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无锡市信用评级报告(区域部分)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无锡作为江苏省下辖地级市，经济总量列江苏省第三位，人均GDP约22.30万元、人均经济实力居全省前列，制造业高端化、人均富裕度高、民营经济活跃。</w:t>
      </w:r>
    </w:p>
    <w:p>
      <w:pPr>
        <w:spacing w:before="0" w:after="60" w:line="360" w:lineRule="auto"/>
        <w:ind w:firstLine="420"/>
      </w:pPr>
      <w:r>
        <w:rPr>
          <w:rFonts w:ascii="Times New Roman" w:hAnsi="Times New Roman" w:eastAsia="楷体"/>
          <w:b w:val="0"/>
          <w:color w:val="000000"/>
          <w:sz w:val="21"/>
        </w:rPr>
        <w:t>无锡市为江苏省地级市，地处长三角腹地、苏锡常都市圈核心，是民族工业与乡镇企业的发祥地。2023、2024、2025年，无锡市地区生产总值分别为15,538.19亿元、16,222.79亿元、16,773.94亿元，同比增长6.00%、5.80%、5.10%，由6.00%回落至5.10%、有所放缓。截至2025年末，全市常住人口753.74万人，人均GDP约22.30万元。</w:t>
      </w:r>
    </w:p>
    <w:p>
      <w:pPr>
        <w:spacing w:before="0" w:after="60" w:line="360" w:lineRule="auto"/>
        <w:ind w:firstLine="420"/>
      </w:pPr>
      <w:r>
        <w:rPr>
          <w:rFonts w:ascii="Times New Roman" w:hAnsi="Times New Roman" w:eastAsia="楷体"/>
          <w:b w:val="0"/>
          <w:color w:val="000000"/>
          <w:sz w:val="21"/>
        </w:rPr>
        <w:t>产业结构方面，2025年无锡市三次产业结构为0.9:46.9:52.2，以物联网、集成电路、高端装备、生物医药为支柱，聚集药明康德、海澜之家、华虹无锡、卓胜微等企业，人均经济实力居全国前列。</w:t>
      </w:r>
    </w:p>
    <w:p>
      <w:pPr>
        <w:spacing w:before="0" w:after="60" w:line="360" w:lineRule="auto"/>
        <w:ind w:firstLine="420"/>
      </w:pPr>
      <w:r>
        <w:rPr>
          <w:rFonts w:ascii="Times New Roman" w:hAnsi="Times New Roman" w:eastAsia="楷体"/>
          <w:b w:val="0"/>
          <w:color w:val="000000"/>
          <w:sz w:val="21"/>
        </w:rPr>
        <w:t>经济动能方面，2023、2024、2025年无锡市固定资产投资增速分别为8.30%、4.00%、-13.30%，在房地产投资承压、部分大型项目接续不足的背景下有所走弱；2025年社会消费品零售总额4,418.47亿元，进出口总额1,159.03亿美元。</w:t>
      </w:r>
    </w:p>
    <w:p>
      <w:pPr>
        <w:spacing w:before="80" w:after="40" w:line="360" w:lineRule="auto"/>
        <w:ind w:firstLine="0"/>
        <w:jc w:val="center"/>
      </w:pPr>
      <w:r>
        <w:rPr>
          <w:rFonts w:ascii="Times New Roman" w:hAnsi="Times New Roman" w:eastAsia="楷体"/>
          <w:b/>
          <w:color w:val="000000"/>
          <w:sz w:val="21"/>
        </w:rPr>
        <w:t>图表：2025年江苏省各地级市主要经济指标对比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苏州市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27,695.10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0.7:46.4:52.9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2,490.23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1304.77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南京市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19,428.78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1.7:30.2:68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1,620.91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963.85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无锡市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16,773.94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0.9:46.9:52.2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1,225.39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753.74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南通市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12,801.50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4.2:46.1:49.7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730.04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常州市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11,158.70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1.6:46.2:52.2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715.47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541.54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徐州市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9,957.22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扬州市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8,056.75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盐城市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8,045.30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515.74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泰州市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7,255.27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475.49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镇江市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5,736.78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3:45:52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339.03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淮安市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5,630.11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449.34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宿迁市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5,026.60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316.56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连云港市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4,830.94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9.9:42.6:47.5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305.74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456.20</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无锡市2025年GDP总量16,773.94亿元、列全省第三位；一般公共预算收入1,225.39亿元、列全省第三位。整体来看，无锡市在江苏省内的经济与财政地位较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无锡市财政体量在江苏省位居前列，税收占比处于70%以上的较高水平、显著高于全国地级市平均、财政质量较好；但受房地产市场调整影响，政府性基金收入较2023年累计缩水超三成、土地财政贡献度显著弱化；2025年末宽口径债务率619.97%、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无锡市一般公共预算收入分别为1,195.42亿元、1,210.09亿元、1,225.39亿元，在江苏省内位居前列；其中税收收入分别为982.80亿元、945.21亿元、960.83亿元，税收占比维持在82.21%、78.11%、78.41%，处于70%以上的较高水平、显著高于全国地级市平均、财政质量较好。一般公共预算支出分别为1,390.19亿元、1,341.09亿元、1,274.84亿元，财政自给率85.99%、90.23%、96.12%，财政自给率处于较高水平。</w:t>
      </w:r>
    </w:p>
    <w:p>
      <w:pPr>
        <w:spacing w:before="0" w:after="60" w:line="360" w:lineRule="auto"/>
        <w:ind w:firstLine="420"/>
      </w:pPr>
      <w:r>
        <w:rPr>
          <w:rFonts w:ascii="Times New Roman" w:hAnsi="Times New Roman" w:eastAsia="楷体"/>
          <w:b w:val="0"/>
          <w:color w:val="000000"/>
          <w:sz w:val="21"/>
        </w:rPr>
        <w:t>政府性基金收入方面，2023、2024、2025年无锡市政府性基金收入分别为1,075.83亿元、799.29亿元、650.93亿元，较2023年累计缩水超三成、土地财政贡献度显著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图表：2023-2025年无锡市财政收入情况(单位:亿元、%)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1,195.42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1,210.09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1,225.39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945.21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960.83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82.21%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1,390.19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1,341.09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1,274.84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1,075.83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799.29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650.93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-18.56%</w:t>
            </w:r>
          </w:p>
        </w:tc>
      </w:tr>
    </w:tbl>
    <w:p>
      <w:pPr>
        <w:spacing w:before="0" w:after="80" w:line="360" w:lineRule="auto"/>
        <w:ind w:firstLine="0"/>
      </w:pPr>
      <w:r>
        <w:rPr>
          <w:rFonts w:ascii="Times New Roman" w:hAnsi="Times New Roman" w:eastAsia="楷体"/>
          <w:b w:val="0"/>
          <w:color w:val="000000"/>
          <w:sz w:val="19"/>
        </w:rPr>
        <w:t>资料来源:无锡市财政决算、企业预警通,风控信评部整理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无锡市经营性用地成交价分别为1,208.30亿元、1,060.72亿元、882.82亿元、607.79亿元、528.47亿元，2025年较2021年下降56.26%；同期平均溢价率为7.17%、0.69%、0.43%、0.15%、0.40%，整体处于低位、反映市场化主体拿地意愿与未来房价预期偏弱；成交楼面均价由5,705元/㎡降至3,244元/㎡、累计下降43.14%。2026年1-4月，无锡市经营性用地累计成交72宗、规划建面364.17万㎡、成交价93.91亿元，延续低位运行。</w:t>
      </w:r>
    </w:p>
    <w:p>
      <w:pPr>
        <w:spacing w:before="80" w:after="40" w:line="360" w:lineRule="auto"/>
        <w:ind w:firstLine="0"/>
        <w:jc w:val="center"/>
      </w:pPr>
      <w:r>
        <w:rPr>
          <w:rFonts w:ascii="Times New Roman" w:hAnsi="Times New Roman" w:eastAsia="楷体"/>
          <w:b/>
          <w:color w:val="000000"/>
          <w:sz w:val="21"/>
        </w:rPr>
        <w:t>图表:2021-2025年无锡市土地出让情况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2,117.89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1,208.30</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2,278.20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0.69%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1,060.72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2,200.92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4,011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0.43%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882.82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1,892.30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3,212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607.79</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1,628.94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3,244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0.40%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528.47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364.17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93.91</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无锡市商品住宅成交面积由641.56万㎡变动至166.86万㎡、累计下降74.0%；新房均价2025年为22,891元/㎡、较2022年高点(24,092元/㎡)累计下跌4.99%；2025年去化周期37.12个月。二手房市场仍处于深度调整，据中指冰山指数(最低挂牌价口径)，无锡二手房挂牌价较2018年7月高点累计下跌39.19%，2023年累计跌幅-10.13%、2024年累计跌幅-12.82%、2025年累计跌幅-16.36%。</w:t>
      </w:r>
    </w:p>
    <w:p>
      <w:pPr>
        <w:spacing w:before="0" w:after="60" w:line="360" w:lineRule="auto"/>
        <w:ind w:firstLine="420"/>
      </w:pPr>
      <w:r>
        <w:rPr>
          <w:rFonts w:ascii="Times New Roman" w:hAnsi="Times New Roman" w:eastAsia="楷体"/>
          <w:b w:val="0"/>
          <w:color w:val="000000"/>
          <w:sz w:val="21"/>
        </w:rPr>
        <w:t>政府债务方面，2023、2024、2025年末无锡市地方政府债务余额分别为2,171.37亿元、2,609.72亿元、3,317.55亿元，两年累计增长52.79%，主要源于地方专项债加快发行及置换债集中落地；2025年末债务限额3,340.50亿元，债务余额控制在限额以内。城投有息债务方面，2025年末估算余额为8,411.47亿元、规模在全国地级市中位居前列，较2023年末增长9.48%。债务率指标看，2025年末无锡市政府债务率175.36%、城投债务率444.61%、宽口径债务率619.97%，较2023年末抬升186.08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综合来看，无锡市经济质量高、人均富裕，区域信用环境稳健。我们预计宽口径债务率短期内将维持高位，需重点关注后续化债进展、土地市场企稳情况以及融资平台合规整改对城投平台再融资能力的影响。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