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苏州市信用评级报告(区域部分)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苏州作为江苏省下辖地级市，经济总量在江苏省稳居第一，人均GDP约21.30万元、人均经济实力居全省前列，外向型经济与先进制造实力居全国地级市首位。</w:t>
      </w:r>
    </w:p>
    <w:p>
      <w:pPr>
        <w:spacing w:before="0" w:after="60" w:line="360" w:lineRule="auto"/>
        <w:ind w:firstLine="420"/>
      </w:pPr>
      <w:r>
        <w:rPr>
          <w:rFonts w:ascii="Times New Roman" w:hAnsi="Times New Roman" w:eastAsia="楷体"/>
          <w:b w:val="0"/>
          <w:color w:val="000000"/>
          <w:sz w:val="21"/>
        </w:rPr>
        <w:t>苏州市为江苏省地级市、特大城市，是长三角重要的经济中心和全国外向型经济、先进制造的标杆城市。2023、2024、2025年，苏州市地区生产总值分别为25,513.37亿元、26,726.98亿元、27,695.10亿元，同比增长4.60%、6.00%、5.40%，由4.60%回升至5.40%、动能边际改善。截至2025年末，全市常住人口1304.77万人，人均GDP约21.30万元。</w:t>
      </w:r>
    </w:p>
    <w:p>
      <w:pPr>
        <w:spacing w:before="0" w:after="60" w:line="360" w:lineRule="auto"/>
        <w:ind w:firstLine="420"/>
      </w:pPr>
      <w:r>
        <w:rPr>
          <w:rFonts w:ascii="Times New Roman" w:hAnsi="Times New Roman" w:eastAsia="楷体"/>
          <w:b w:val="0"/>
          <w:color w:val="000000"/>
          <w:sz w:val="21"/>
        </w:rPr>
        <w:t>产业结构方面，2025年苏州市三次产业结构为0.7:46.4:52.9，以电子信息、装备制造、生物医药、纳米新材料为支柱，依托苏州工业园区，外资与民营制造并举，聚集信达生物、纳微科技等企业，制造业规模居全国地级市前列。</w:t>
      </w:r>
    </w:p>
    <w:p>
      <w:pPr>
        <w:spacing w:before="0" w:after="60" w:line="360" w:lineRule="auto"/>
        <w:ind w:firstLine="420"/>
      </w:pPr>
      <w:r>
        <w:rPr>
          <w:rFonts w:ascii="Times New Roman" w:hAnsi="Times New Roman" w:eastAsia="楷体"/>
          <w:b w:val="0"/>
          <w:color w:val="000000"/>
          <w:sz w:val="21"/>
        </w:rPr>
        <w:t>经济动能方面，2023、2024、2025年苏州市固定资产投资增速分别为5.00%、1.70%、-6.50%，在房地产投资承压、部分大型项目接续不足的背景下有所走弱；2025年社会消费品零售总额9,092.20亿元，进出口总额3,930.92亿美元。</w:t>
      </w:r>
    </w:p>
    <w:p>
      <w:pPr>
        <w:spacing w:before="80" w:after="40" w:line="360" w:lineRule="auto"/>
        <w:ind w:firstLine="0"/>
        <w:jc w:val="center"/>
      </w:pPr>
      <w:r>
        <w:rPr>
          <w:rFonts w:ascii="Times New Roman" w:hAnsi="Times New Roman" w:eastAsia="楷体"/>
          <w:b/>
          <w:color w:val="000000"/>
          <w:sz w:val="21"/>
        </w:rPr>
        <w:t>图表：2025年江苏省各地级市主要经济指标对比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27,695.10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0.7:46.4:52.9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1304.77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南京市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19,428.78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1.7:30.2:68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1,620.91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963.85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无锡市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16,773.94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0.9:46.9:52.2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753.74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12,801.50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4.2:46.1:49.7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11,158.70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1.6:46.2:52.2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541.54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徐州市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9,957.22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扬州市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8,056.75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盐城市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8,045.30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7,255.27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475.49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镇江市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5,736.78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339.03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5,630.11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449.34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宿迁市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316.56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连云港市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4,830.94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9.9:42.6:47.5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456.20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苏州市2025年GDP总量27,695.10亿元、列全省第一位，约为省内第二的南京市（19,428.78亿元）的1.4倍，省内首位度较高；一般公共预算收入2,490.23亿元、稳居全省第一。整体来看，苏州市在江苏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苏州市财政体量在江苏省稳居第一，税收占比处于70%以上的较高水平、显著高于全国地级市平均、财政质量较好；但受房地产市场调整影响，政府性基金收入较2023年累计缩水超三成、土地财政贡献度显著弱化；2025年末宽口径债务率622.78%、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苏州市一般公共预算收入分别为2,456.81亿元、2,459.10亿元、2,490.23亿元，在江苏省内稳居第一；其中税收收入分别为2,087.20亿元、2,004.19亿元、2,076.00亿元，税收占比维持在84.96%、81.50%、83.37%，处于70%以上的较高水平、显著高于全国地级市平均、财政质量较好。一般公共预算支出分别为2,621.28亿元、2,602.30亿元、2,545.83亿元，财政自给率93.73%、94.50%、97.82%，财政自给率处于较高水平。</w:t>
      </w:r>
    </w:p>
    <w:p>
      <w:pPr>
        <w:spacing w:before="0" w:after="60" w:line="360" w:lineRule="auto"/>
        <w:ind w:firstLine="420"/>
      </w:pPr>
      <w:r>
        <w:rPr>
          <w:rFonts w:ascii="Times New Roman" w:hAnsi="Times New Roman" w:eastAsia="楷体"/>
          <w:b w:val="0"/>
          <w:color w:val="000000"/>
          <w:sz w:val="21"/>
        </w:rPr>
        <w:t>政府性基金收入方面，2023、2024、2025年苏州市政府性基金收入分别为1,401.17亿元、1,048.08亿元、788.03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图表：2023-2025年苏州市财政收入情况(单位:亿元、%)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2,456.81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2,459.10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2,087.20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2,004.19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2,621.28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2,602.30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2,545.83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1,401.17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1,048.08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788.03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-24.81%</w:t>
            </w:r>
          </w:p>
        </w:tc>
      </w:tr>
    </w:tbl>
    <w:p>
      <w:pPr>
        <w:spacing w:before="0" w:after="80" w:line="360" w:lineRule="auto"/>
        <w:ind w:firstLine="0"/>
      </w:pPr>
      <w:r>
        <w:rPr>
          <w:rFonts w:ascii="Times New Roman" w:hAnsi="Times New Roman" w:eastAsia="楷体"/>
          <w:b w:val="0"/>
          <w:color w:val="000000"/>
          <w:sz w:val="19"/>
        </w:rPr>
        <w:t>资料来源:苏州市财政决算、企业预警通,风控信评部整理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苏州市经营性用地成交价分别为1,974.62亿元、1,497.18亿元、1,421.80亿元、781.46亿元、711.47亿元，2025年较2021年下降63.97%；同期平均溢价率为4.27%、1.85%、3.64%、1.35%、4.47%，整体处于低位、反映市场化主体拿地意愿与未来房价预期偏弱；成交楼面均价由3,469元/㎡降至2,184元/㎡、累计下降37.04%。2026年1-4月，苏州市经营性用地累计成交175宗、规划建面936.85万㎡、成交价97.95亿元，延续低位运行。</w:t>
      </w:r>
    </w:p>
    <w:p>
      <w:pPr>
        <w:spacing w:before="80" w:after="40" w:line="360" w:lineRule="auto"/>
        <w:ind w:firstLine="0"/>
        <w:jc w:val="center"/>
      </w:pPr>
      <w:r>
        <w:rPr>
          <w:rFonts w:ascii="Times New Roman" w:hAnsi="Times New Roman" w:eastAsia="楷体"/>
          <w:b/>
          <w:color w:val="000000"/>
          <w:sz w:val="21"/>
        </w:rPr>
        <w:t>图表:2021-2025年苏州市土地出让情况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5,691.50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1,974.62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4,327.37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3,460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1,497.18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3,683.14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3,860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1,421.80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3,557.07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781.46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3,257.31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711.47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936.85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97.95</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苏州市商品住宅成交面积由1,098.20万㎡变动至302.00万㎡、累计下降72.5%；新房均价2025年为25,561元/㎡、较2023年高点(27,630元/㎡)累计下跌7.49%；2025年去化周期27.78个月。二手房市场仍处于深度调整，据中指冰山指数(最低挂牌价口径)，苏州二手房挂牌价较2019年11月高点累计下跌42.24%，2023年累计跌幅-8.08%、2024年累计跌幅-13.56%、2025年累计跌幅-16.40%。</w:t>
      </w:r>
    </w:p>
    <w:p>
      <w:pPr>
        <w:spacing w:before="0" w:after="60" w:line="360" w:lineRule="auto"/>
        <w:ind w:firstLine="420"/>
      </w:pPr>
      <w:r>
        <w:rPr>
          <w:rFonts w:ascii="Times New Roman" w:hAnsi="Times New Roman" w:eastAsia="楷体"/>
          <w:b w:val="0"/>
          <w:color w:val="000000"/>
          <w:sz w:val="21"/>
        </w:rPr>
        <w:t>政府债务方面，2023、2024、2025年末苏州市地方政府债务余额分别为2,046.12亿元、3,657.97亿元、4,445.63亿元，两年累计增长117.27%，主要源于地方专项债加快发行及置换债集中落地；2025年末债务限额4,534.67亿元，债务余额控制在限额以内。城投有息债务方面，2025年末估算余额为16,146.57亿元、规模在全国地级市中位居前列，较2023年末增长19.68%。债务率指标看，2025年末苏州市政府债务率134.45%、城投债务率488.33%、宽口径债务率622.78%，较2023年末抬升225.11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苏州市制造业与外贸实力雄厚、财政质量优，区域信用环境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