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南昌市信用评级报告(区域部分)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南昌作为江西省省会，经济总量在江西省稳居第一，人均GDP约12.00万元、人均经济实力居全省前列，省会地位与电子、航空产业并进。</w:t>
      </w:r>
    </w:p>
    <w:p>
      <w:pPr>
        <w:spacing w:before="0" w:after="60" w:line="360" w:lineRule="auto"/>
        <w:ind w:firstLine="420"/>
      </w:pPr>
      <w:r>
        <w:rPr>
          <w:rFonts w:ascii="Times New Roman" w:hAnsi="Times New Roman" w:eastAsia="楷体"/>
          <w:b w:val="0"/>
          <w:color w:val="000000"/>
          <w:sz w:val="21"/>
        </w:rPr>
        <w:t>南昌市为江西省省会，是长江中游城市群和环鄱阳湖城市群核心城市。2023、2024、2025年，南昌市地区生产总值分别为7,437.85亿元、7,805.38亿元、8,141.69亿元，同比增长3.70%、4.90%、4.70%，由3.70%回升至4.70%、动能边际改善。</w:t>
      </w:r>
    </w:p>
    <w:p>
      <w:pPr>
        <w:spacing w:before="0" w:after="60" w:line="360" w:lineRule="auto"/>
        <w:ind w:firstLine="420"/>
      </w:pPr>
      <w:r>
        <w:rPr>
          <w:rFonts w:ascii="Times New Roman" w:hAnsi="Times New Roman" w:eastAsia="楷体"/>
          <w:b w:val="0"/>
          <w:color w:val="000000"/>
          <w:sz w:val="21"/>
        </w:rPr>
        <w:t>产业结构方面，2025年南昌市三次产业结构为3.2:41.5:55.3，以电子信息、汽车、航空、医药、食品为支柱，聚集江铃汽车、洪都航空、欧菲光等企业，VR与航空制造特色鲜明。</w:t>
      </w:r>
    </w:p>
    <w:p>
      <w:pPr>
        <w:spacing w:before="0" w:after="60" w:line="360" w:lineRule="auto"/>
        <w:ind w:firstLine="420"/>
      </w:pPr>
      <w:r>
        <w:rPr>
          <w:rFonts w:ascii="Times New Roman" w:hAnsi="Times New Roman" w:eastAsia="楷体"/>
          <w:b w:val="0"/>
          <w:color w:val="000000"/>
          <w:sz w:val="21"/>
        </w:rPr>
        <w:t>经济动能方面，2023、2024、2025年南昌市固定资产投资增速分别为-7.80%、5.40%、-4.80%，在房地产投资承压、部分大型项目接续不足的背景下有所走弱；2025年社会消费品零售总额2,921.78亿元，进出口总额159.60亿美元。</w:t>
      </w:r>
    </w:p>
    <w:p>
      <w:pPr>
        <w:spacing w:before="80" w:after="40" w:line="360" w:lineRule="auto"/>
        <w:ind w:firstLine="0"/>
        <w:jc w:val="center"/>
      </w:pPr>
      <w:r>
        <w:rPr>
          <w:rFonts w:ascii="Times New Roman" w:hAnsi="Times New Roman" w:eastAsia="楷体"/>
          <w:b/>
          <w:color w:val="000000"/>
          <w:sz w:val="21"/>
        </w:rPr>
        <w:t>图表：2025年江西省各地级市主要经济指标对比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南昌市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8,141.69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3.2:41.5:55.3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537.77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赣州市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5,221.29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9.6:36.4:54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333.89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895.62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九江市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4,246.50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6.7:38.3:55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322.00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上饶市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3,935.90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9.2:38.5:52.3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289.20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627.10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宜春市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3,930.24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9.8:39:51.2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482.10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吉安市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3,105.70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8.9:42:49.1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427.14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抚州市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2,298.11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11.5:39.1:49.4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354.57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鹰潭市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1,459.41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5.4:51.1:43.5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118.33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114.50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萍乡市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1,276.04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6.3:37.7:56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231.27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178.63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新余市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1,215.58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6.7:35.6:57.7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118.96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景德镇市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1,189.63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6.5:38.4:55.1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161.76</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南昌市2025年GDP总量8,141.69亿元、列全省第一位，约为省内第二的赣州市（5,221.29亿元）的1.6倍，省内首位度较高；一般公共预算收入537.77亿元、稳居全省第一。整体来看，南昌市在江西省内的经济与财政地位极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南昌市财政体量在江西省稳居第一，税收占比处于六成以上、财政质量中等偏上；但受房地产市场调整影响，政府性基金收入较2023年累计缩水超三成、土地财政贡献度显著弱化；2025年末宽口径债务率428.94%、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南昌市一般公共预算收入分别为500.20亿元、526.20亿元、537.77亿元，在江西省内稳居第一；其中税收收入分别为330.10亿元、334.50亿元、325.35亿元，税收占比维持在65.99%、63.57%、60.50%，处于六成以上、财政质量中等偏上。一般公共预算支出分别为925.60亿元、940.10亿元、914.44亿元，财政自给率54.04%、55.97%、58.81%，财政自给率偏低、刚性支出压力较大。</w:t>
      </w:r>
    </w:p>
    <w:p>
      <w:pPr>
        <w:spacing w:before="0" w:after="60" w:line="360" w:lineRule="auto"/>
        <w:ind w:firstLine="420"/>
      </w:pPr>
      <w:r>
        <w:rPr>
          <w:rFonts w:ascii="Times New Roman" w:hAnsi="Times New Roman" w:eastAsia="楷体"/>
          <w:b w:val="0"/>
          <w:color w:val="000000"/>
          <w:sz w:val="21"/>
        </w:rPr>
        <w:t>政府性基金收入方面，2023、2024、2025年南昌市政府性基金收入分别为270.80亿元、133.80亿元、160.20亿元，较2023年累计缩水超三成、土地财政贡献度显著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图表：2023-2025年南昌市财政收入情况(单位:亿元、%)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537.77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325.35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914.44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19.73%</w:t>
            </w:r>
          </w:p>
        </w:tc>
      </w:tr>
    </w:tbl>
    <w:p>
      <w:pPr>
        <w:spacing w:before="0" w:after="80" w:line="360" w:lineRule="auto"/>
        <w:ind w:firstLine="0"/>
      </w:pPr>
      <w:r>
        <w:rPr>
          <w:rFonts w:ascii="Times New Roman" w:hAnsi="Times New Roman" w:eastAsia="楷体"/>
          <w:b w:val="0"/>
          <w:color w:val="000000"/>
          <w:sz w:val="19"/>
        </w:rPr>
        <w:t>资料来源:南昌市财政决算、企业预警通,风控信评部整理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南昌市经营性用地成交价分别为226.33亿元、265.45亿元、221.13亿元、75.77亿元、103.05亿元，2025年较2021年下降54.47%；同期平均溢价率为14.74%、4.67%、4.51%、4.45%、4.84%，整体处于低位、反映市场化主体拿地意愿与未来房价预期偏弱；成交楼面均价由2,059元/㎡降至1,379元/㎡、累计下降33.03%。2026年1-4月，南昌市经营性用地累计成交46宗、规划建面149.77万㎡、成交价7.86亿元，延续低位运行。</w:t>
      </w:r>
    </w:p>
    <w:p>
      <w:pPr>
        <w:spacing w:before="80" w:after="40" w:line="360" w:lineRule="auto"/>
        <w:ind w:firstLine="0"/>
        <w:jc w:val="center"/>
      </w:pPr>
      <w:r>
        <w:rPr>
          <w:rFonts w:ascii="Times New Roman" w:hAnsi="Times New Roman" w:eastAsia="楷体"/>
          <w:b/>
          <w:color w:val="000000"/>
          <w:sz w:val="21"/>
        </w:rPr>
        <w:t>图表:2021-2025年南昌市土地出让情况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1,098.73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2,059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14.74%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226.33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1,455.26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1,819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265.45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1,351.17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221.13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653.30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75.77</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746.27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1,379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103.05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149.77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7.86</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南昌市商品住宅成交面积由358.10万㎡变动至187.72万㎡、累计下降47.6%；新房均价2025年为11,434元/㎡、较2021年高点(13,724元/㎡)累计下跌16.69%；2025年去化周期7.99个月。二手房市场仍处于深度调整，据中指冰山指数(最低挂牌价口径)，南昌二手房挂牌价较2019年6月高点累计下跌42.11%，2023年累计跌幅-8.88%、2024年累计跌幅-13.65%、2025年累计跌幅-18.29%。</w:t>
      </w:r>
    </w:p>
    <w:p>
      <w:pPr>
        <w:spacing w:before="0" w:after="60" w:line="360" w:lineRule="auto"/>
        <w:ind w:firstLine="420"/>
      </w:pPr>
      <w:r>
        <w:rPr>
          <w:rFonts w:ascii="Times New Roman" w:hAnsi="Times New Roman" w:eastAsia="楷体"/>
          <w:b w:val="0"/>
          <w:color w:val="000000"/>
          <w:sz w:val="21"/>
        </w:rPr>
        <w:t>政府债务方面，2023、2024、2025年末南昌市地方政府债务余额分别为1,678.60亿元、1,929.98亿元、2,200.07亿元，两年累计增长31.07%，主要源于地方专项债加快发行及置换债集中落地；2025年末债务限额2,310.52亿元，债务余额控制在限额以内。城投有息债务方面，2025年末估算余额为3,701.77亿元，较2023年末增长10.55%。债务率指标看，2025年末南昌市政府债务率159.90%、城投债务率269.04%、宽口径债务率428.94%，较2023年末抬升102.56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综合来看，南昌市作为省会、产业多元，区域信用环境总体稳健。我们预计宽口径债务率短期内将维持高位，需重点关注后续化债进展、土地市场企稳情况以及融资平台合规整改对城投平台再融资能力的影响。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