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唐山市信用评级报告(区域部分)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唐山作为河北省下辖地级市，经济总量在河北省稳居第一，人均经济实力居省内中游，钢铁重化工业体量庞大、临港优势明显，但产业偏重、转型压力存在。</w:t>
      </w:r>
    </w:p>
    <w:p>
      <w:pPr>
        <w:spacing w:before="0" w:after="60" w:line="360" w:lineRule="auto"/>
        <w:ind w:firstLine="420"/>
      </w:pPr>
      <w:r>
        <w:rPr>
          <w:rFonts w:ascii="Times New Roman" w:hAnsi="Times New Roman" w:eastAsia="楷体"/>
          <w:b w:val="0"/>
          <w:color w:val="000000"/>
          <w:sz w:val="21"/>
        </w:rPr>
        <w:t>唐山市为河北省地级市，是环渤海重要工业城市和全国最大的钢铁生产基地。2023、2024、2025年，唐山市地区生产总值分别为9,546.00亿元、10,003.90亿元、10,450.20亿元，同比增长6.10%、5.60%、6.20%，维持在6.20%左右、总体平稳。</w:t>
      </w:r>
    </w:p>
    <w:p>
      <w:pPr>
        <w:spacing w:before="0" w:after="60" w:line="360" w:lineRule="auto"/>
        <w:ind w:firstLine="420"/>
      </w:pPr>
      <w:r>
        <w:rPr>
          <w:rFonts w:ascii="Times New Roman" w:hAnsi="Times New Roman" w:eastAsia="楷体"/>
          <w:b w:val="0"/>
          <w:color w:val="000000"/>
          <w:sz w:val="21"/>
        </w:rPr>
        <w:t>产业结构方面，2025年唐山市三次产业结构为6.4:49.1:44.5，以钢铁、能源、装备制造、化工、陶瓷为支柱，聚集河钢集团（唐钢）等企业，临港重化工业发达，曹妃甸是重要的能源原材料基地。</w:t>
      </w:r>
    </w:p>
    <w:p>
      <w:pPr>
        <w:spacing w:before="0" w:after="60" w:line="360" w:lineRule="auto"/>
        <w:ind w:firstLine="420"/>
      </w:pPr>
      <w:r>
        <w:rPr>
          <w:rFonts w:ascii="Times New Roman" w:hAnsi="Times New Roman" w:eastAsia="楷体"/>
          <w:b w:val="0"/>
          <w:color w:val="000000"/>
          <w:sz w:val="21"/>
        </w:rPr>
        <w:t>经济动能方面，2023、2024、2025年唐山市固定资产投资增速分别为4.00%、-13.50%、7.20%；2025年社会消费品零售总额2,420.90亿元，进出口总额191.44亿美元。</w:t>
      </w:r>
    </w:p>
    <w:p>
      <w:pPr>
        <w:spacing w:before="80" w:after="40" w:line="360" w:lineRule="auto"/>
        <w:ind w:firstLine="0"/>
        <w:jc w:val="center"/>
      </w:pPr>
      <w:r>
        <w:rPr>
          <w:rFonts w:ascii="Times New Roman" w:hAnsi="Times New Roman" w:eastAsia="楷体"/>
          <w:b/>
          <w:color w:val="000000"/>
          <w:sz w:val="21"/>
        </w:rPr>
        <w:t>图表：2025年河北省各地级市主要经济指标对比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唐山市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10,450.20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6.4:49.1:44.5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588.20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石家庄市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8,651.70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727.50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保定市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5,002.50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10.7:33:56.3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沧州市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4,930.90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353.17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邯郸市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4,920.10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386.37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廊坊市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4,040.50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311.80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邢台市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2,800.00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秦皇岛市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2,200.40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衡水市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2,011.80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12.8:32.7:54.5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155.48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承德市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2,001.70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张家口市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1,970.70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193.38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唐山市2025年GDP总量10,450.20亿元、列全省第一位，约为省内第二的石家庄市（8,651.70亿元）的1.2倍；一般公共预算收入588.20亿元、列全省第二位。整体来看，唐山市在河北省内的经济与财政地位极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唐山市财政体量在河北省位居前列，税收占比偏低、非税收入占比相对较高、财政质量有待优化；但受房地产市场调整影响，政府性基金收入近年总体保持平稳；2025年末宽口径债务率574.89%、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唐山市一般公共预算收入分别为581.43亿元、577.99亿元、588.20亿元，在河北省内位居前列；其中税收收入分别为303.64亿元、292.49亿元、304.30亿元，税收占比维持在52.22%、50.60%、51.73%，偏低、非税收入占比相对较高、财政质量有待优化。一般公共预算支出分别为1,001.53亿元、1,029.71亿元、1,082.75亿元，财政自给率58.05%、56.13%、54.32%，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政府性基金收入方面，2023、2024、2025年唐山市政府性基金收入分别为311.21亿元、309.84亿元、299.63亿元，近年总体保持平稳。</w:t>
      </w:r>
    </w:p>
    <w:p>
      <w:pPr>
        <w:spacing w:before="80" w:after="40" w:line="360" w:lineRule="auto"/>
        <w:ind w:firstLine="0"/>
        <w:jc w:val="center"/>
      </w:pPr>
      <w:r>
        <w:rPr>
          <w:rFonts w:ascii="Times New Roman" w:hAnsi="Times New Roman" w:eastAsia="楷体"/>
          <w:b/>
          <w:color w:val="000000"/>
          <w:sz w:val="21"/>
        </w:rPr>
        <w:t>图表：2023-2025年唐山市财政收入情况(单位:亿元、%)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581.43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577.99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588.20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303.64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292.49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304.30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1,001.53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1,029.71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1,082.75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54.32%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311.21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309.84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299.63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r>
    </w:tbl>
    <w:p>
      <w:pPr>
        <w:spacing w:before="0" w:after="80" w:line="360" w:lineRule="auto"/>
        <w:ind w:firstLine="0"/>
      </w:pPr>
      <w:r>
        <w:rPr>
          <w:rFonts w:ascii="Times New Roman" w:hAnsi="Times New Roman" w:eastAsia="楷体"/>
          <w:b w:val="0"/>
          <w:color w:val="000000"/>
          <w:sz w:val="19"/>
        </w:rPr>
        <w:t>资料来源:唐山市财政决算、企业预警通,风控信评部整理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唐山市经营性用地成交价分别为219.82亿元、163.33亿元、235.37亿元、253.72亿元、197.92亿元，2025年较2021年下降9.96%；同期平均溢价率为4.77%、2.41%、2.70%、1.38%、0.81%，整体处于低位、反映市场化主体拿地意愿与未来房价预期偏弱；成交楼面均价由826元/㎡降至815元/㎡、累计下降1.33%。2026年1-4月，唐山市经营性用地累计成交54宗、规划建面160.51万㎡、成交价12.67亿元，延续低位运行。</w:t>
      </w:r>
    </w:p>
    <w:p>
      <w:pPr>
        <w:spacing w:before="80" w:after="40" w:line="360" w:lineRule="auto"/>
        <w:ind w:firstLine="0"/>
        <w:jc w:val="center"/>
      </w:pPr>
      <w:r>
        <w:rPr>
          <w:rFonts w:ascii="Times New Roman" w:hAnsi="Times New Roman" w:eastAsia="楷体"/>
          <w:b/>
          <w:color w:val="000000"/>
          <w:sz w:val="21"/>
        </w:rPr>
        <w:t>图表:2021-2025年唐山市土地出让情况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2,645.77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826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219.82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2,429.00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163.33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2,866.25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235.37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3,657.05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253.72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2,051.75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197.92</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160.51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12.67</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从房地产销售看，2021-2025年唐山市商品住宅成交面积由564.16万㎡变动至268.55万㎡、累计下降52.4%；新房均价2025年为8,456元/㎡、较2023年高点(9,574元/㎡)累计下跌11.68%；2025年去化周期52.44个月。</w:t>
      </w:r>
    </w:p>
    <w:p>
      <w:pPr>
        <w:spacing w:before="0" w:after="60" w:line="360" w:lineRule="auto"/>
        <w:ind w:firstLine="420"/>
      </w:pPr>
      <w:r>
        <w:rPr>
          <w:rFonts w:ascii="Times New Roman" w:hAnsi="Times New Roman" w:eastAsia="楷体"/>
          <w:b w:val="0"/>
          <w:color w:val="000000"/>
          <w:sz w:val="21"/>
        </w:rPr>
        <w:t>政府债务方面，2023、2024、2025年末唐山市地方政府债务余额分别为2,607.48亿元、2,832.01亿元、3,127.72亿元，两年累计增长19.95%，主要源于地方专项债加快发行及置换债集中落地；2025年末债务限额3,212.86亿元，债务余额控制在限额以内。城投有息债务方面，2025年末估算余额为1,992.11亿元，较2023年末增长26.83%。债务率指标看，2025年末唐山市政府债务率351.20%、城投债务率223.69%、宽口径债务率574.89%，较2023年末抬升108.27个百分点，显著高于公认的300%偏高临界线、在全国主要城市中处于较高水平。</w:t>
      </w:r>
    </w:p>
    <w:p>
      <w:pPr>
        <w:spacing w:before="0" w:after="60" w:line="360" w:lineRule="auto"/>
        <w:ind w:firstLine="420"/>
      </w:pPr>
      <w:r>
        <w:rPr>
          <w:rFonts w:ascii="Times New Roman" w:hAnsi="Times New Roman" w:eastAsia="楷体"/>
          <w:b w:val="0"/>
          <w:color w:val="000000"/>
          <w:sz w:val="21"/>
        </w:rPr>
        <w:t>综合来看，唐山市工业体量大、临港优势突出，但产业偏重、转型升级压力存在，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