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石家庄市信用评级报告(区域部分)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石家庄作为河北省省会，经济总量列河北省第二位，人均经济实力居省内中游，医药产业特色鲜明、承接京津产业转移。</w:t>
      </w:r>
    </w:p>
    <w:p>
      <w:pPr>
        <w:spacing w:before="0" w:after="60" w:line="360" w:lineRule="auto"/>
        <w:ind w:firstLine="420"/>
      </w:pPr>
      <w:r>
        <w:rPr>
          <w:rFonts w:ascii="Times New Roman" w:hAnsi="Times New Roman" w:eastAsia="楷体"/>
          <w:b w:val="0"/>
          <w:color w:val="000000"/>
          <w:sz w:val="21"/>
        </w:rPr>
        <w:t>石家庄市为河北省省会，是京津冀世界级城市群重要节点和华北区域中心城市。2023、2024、2025年，石家庄市地区生产总值分别为7,846.20亿元、8,203.40亿元、8,651.70亿元，同比增长6.30%、5.50%、6.00%，维持在6.00%左右、总体平稳。</w:t>
      </w:r>
    </w:p>
    <w:p>
      <w:pPr>
        <w:spacing w:before="0" w:after="60" w:line="360" w:lineRule="auto"/>
        <w:ind w:firstLine="420"/>
      </w:pPr>
      <w:r>
        <w:rPr>
          <w:rFonts w:ascii="Times New Roman" w:hAnsi="Times New Roman" w:eastAsia="楷体"/>
          <w:b w:val="0"/>
          <w:color w:val="000000"/>
          <w:sz w:val="21"/>
        </w:rPr>
        <w:t>产业结构方面，石家庄市以生物医药、装备制造、电子信息、纺织食品为支柱，聚集石药、华药、以岭药业等医药龙头，生物医药产业特色突出。</w:t>
      </w:r>
    </w:p>
    <w:p>
      <w:pPr>
        <w:spacing w:before="0" w:after="60" w:line="360" w:lineRule="auto"/>
        <w:ind w:firstLine="420"/>
      </w:pPr>
      <w:r>
        <w:rPr>
          <w:rFonts w:ascii="Times New Roman" w:hAnsi="Times New Roman" w:eastAsia="楷体"/>
          <w:b w:val="0"/>
          <w:color w:val="000000"/>
          <w:sz w:val="21"/>
        </w:rPr>
        <w:t>经济动能方面，2023、2024、2025年石家庄市固定资产投资增速分别为7.60%、9.30%、12.40%；2025年社会消费品零售总额2,787.50亿元，进出口总额193.38亿美元。</w:t>
      </w:r>
    </w:p>
    <w:p>
      <w:pPr>
        <w:spacing w:before="80" w:after="40" w:line="360" w:lineRule="auto"/>
        <w:ind w:firstLine="0"/>
        <w:jc w:val="center"/>
      </w:pPr>
      <w:r>
        <w:rPr>
          <w:rFonts w:ascii="Times New Roman" w:hAnsi="Times New Roman" w:eastAsia="楷体"/>
          <w:b/>
          <w:color w:val="000000"/>
          <w:sz w:val="21"/>
        </w:rPr>
        <w:t>图表：2025年河北省各地级市主要经济指标对比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唐山市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10,450.20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6.4:49.1:44.5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588.20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石家庄市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8,651.70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保定市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5,002.50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10.7:33:56.3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327.06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沧州市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4,930.90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353.17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邯郸市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4,920.10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386.37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廊坊市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4,040.50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311.80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邢台市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秦皇岛市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2,200.40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衡水市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2,011.80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12.8:32.7:54.5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承德市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2,001.70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张家口市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1,970.70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193.38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石家庄市2025年GDP总量8,651.70亿元、列全省第二位；一般公共预算收入727.50亿元、稳居全省第一。整体来看，石家庄市在河北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石家庄市财政体量在河北省稳居第一，税收占比偏低、非税收入占比相对较高、财政质量有待优化；但受房地产市场调整影响，政府性基金收入较2023年累计下降20%、土地财政贡献度有所弱化；2025年末宽口径债务率530.86%、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石家庄市一般公共预算收入分别为737.89亿元、746.10亿元、727.50亿元，在河北省内稳居第一；其中税收收入分别为432.73亿元、397.12亿元、408.09亿元，税收占比维持在58.64%、53.23%、56.09%，偏低、非税收入占比相对较高、财政质量有待优化。一般公共预算支出分别为1,274.83亿元、1,200.04亿元、1,248.40亿元，财政自给率57.88%、62.17%、58.27%，财政自给率偏低、刚性支出压力较大。</w:t>
      </w:r>
    </w:p>
    <w:p>
      <w:pPr>
        <w:spacing w:before="0" w:after="60" w:line="360" w:lineRule="auto"/>
        <w:ind w:firstLine="420"/>
      </w:pPr>
      <w:r>
        <w:rPr>
          <w:rFonts w:ascii="Times New Roman" w:hAnsi="Times New Roman" w:eastAsia="楷体"/>
          <w:b w:val="0"/>
          <w:color w:val="000000"/>
          <w:sz w:val="21"/>
        </w:rPr>
        <w:t>政府性基金收入方面，2023、2024、2025年石家庄市政府性基金收入分别为465.08亿元、379.20亿元、372.65亿元，较2023年累计下降20%、土地财政贡献度有所弱化，反映地方综合财力对房地产周期与土地市场的敞口较大。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图表：2023-2025年石家庄市财政收入情况(单位:亿元、%)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737.89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432.73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397.12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408.09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1,274.83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1,200.04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1,248.40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465.08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379.20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372.65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-1.73%</w:t>
            </w:r>
          </w:p>
        </w:tc>
      </w:tr>
    </w:tbl>
    <w:p>
      <w:pPr>
        <w:spacing w:before="0" w:after="80" w:line="360" w:lineRule="auto"/>
        <w:ind w:firstLine="0"/>
      </w:pPr>
      <w:r>
        <w:rPr>
          <w:rFonts w:ascii="Times New Roman" w:hAnsi="Times New Roman" w:eastAsia="楷体"/>
          <w:b w:val="0"/>
          <w:color w:val="000000"/>
          <w:sz w:val="19"/>
        </w:rPr>
        <w:t>资料来源:石家庄市财政决算、企业预警通,风控信评部整理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石家庄市经营性用地成交价分别为355.15亿元、286.56亿元、475.71亿元、358.90亿元、441.04亿元，2025年较2021年变动24.18%；同期平均溢价率为3.36%、2.10%、1.10%、2.58%、0.58%，整体处于低位、反映市场化主体拿地意愿与未来房价预期偏弱；成交楼面均价为1,694元/㎡。2026年1-4月，石家庄市经营性用地累计成交124宗、规划建面463.63万㎡、成交价66.89亿元，延续低位运行。</w:t>
      </w:r>
    </w:p>
    <w:p>
      <w:pPr>
        <w:spacing w:before="80" w:after="40" w:line="360" w:lineRule="auto"/>
        <w:ind w:firstLine="0"/>
        <w:jc w:val="center"/>
      </w:pPr>
      <w:r>
        <w:rPr>
          <w:rFonts w:ascii="Times New Roman" w:hAnsi="Times New Roman" w:eastAsia="楷体"/>
          <w:b/>
          <w:color w:val="000000"/>
          <w:sz w:val="21"/>
        </w:rPr>
        <w:t>图表:2021-2025年石家庄市土地出让情况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2,725.41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355.15</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2,913.70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286.56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3,845.30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475.71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2,866.99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358.90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2,585.36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1,694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0.58%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441.04</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463.63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66.89</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石家庄市商品住宅成交面积由419.16万㎡变动至289.80万㎡、累计下降30.9%；新房均价2025年为15,154元/㎡、较2024年高点(15,599元/㎡)累计下跌2.85%；2025年去化周期17.25个月。二手房市场仍处于深度调整，据中指冰山指数(最低挂牌价口径)，石家庄二手房挂牌价较2018年4月高点累计下跌46.02%，2023年累计跌幅-6.82%、2024年累计跌幅-7.42%、2025年累计跌幅-15.10%。</w:t>
      </w:r>
    </w:p>
    <w:p>
      <w:pPr>
        <w:spacing w:before="0" w:after="60" w:line="360" w:lineRule="auto"/>
        <w:ind w:firstLine="420"/>
      </w:pPr>
      <w:r>
        <w:rPr>
          <w:rFonts w:ascii="Times New Roman" w:hAnsi="Times New Roman" w:eastAsia="楷体"/>
          <w:b w:val="0"/>
          <w:color w:val="000000"/>
          <w:sz w:val="21"/>
        </w:rPr>
        <w:t>政府债务方面，2023、2024、2025年末石家庄市地方政府债务余额分别为2,307.86亿元、2,510.36亿元、2,798.22亿元，两年累计增长21.25%，主要源于地方专项债加快发行及置换债集中落地；2025年末债务限额2,879.71亿元，债务余额控制在限额以内。城投有息债务方面，2025年末估算余额为3,042.07亿元，较2023年末增长17.06%。债务率指标看，2025年末石家庄市政府债务率254.35%、城投债务率276.51%、宽口径债务率530.86%，较2023年末抬升123.30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石家庄市作为省会、医药产业突出，区域信用环境总体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