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郑州市信用评级报告(区域部分)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郑州作为河南省省会，经济总量在河南省稳居第一，人均GDP约11.63万元、人均经济实力居全省前列，省内一城独大、工业基础扎实，但人均GDP与税收占比在中部主要省会中偏低、经济增速逐年回落。</w:t>
      </w:r>
    </w:p>
    <w:p>
      <w:pPr>
        <w:spacing w:before="0" w:after="60" w:line="360" w:lineRule="auto"/>
        <w:ind w:firstLine="420"/>
      </w:pPr>
      <w:r>
        <w:rPr>
          <w:rFonts w:ascii="Times New Roman" w:hAnsi="Times New Roman" w:eastAsia="楷体"/>
          <w:b w:val="0"/>
          <w:color w:val="000000"/>
          <w:sz w:val="21"/>
        </w:rPr>
        <w:t>郑州市为河南省省会、国家中心城市、中原城市群核心城市、“一带一路”重要节点城市，定位为国际综合交通枢纽和国际物流中心。2023、2024、2025年，郑州市地区生产总值分别为13,926.81亿元、14,569.60亿元、15,244.60亿元，同比增长7.50%、5.70%、5.40%，由7.50%回落至5.40%、有所放缓。截至2025年末，全市常住人口1313.80万人，人均GDP约11.63万元。</w:t>
      </w:r>
    </w:p>
    <w:p>
      <w:pPr>
        <w:spacing w:before="0" w:after="60" w:line="360" w:lineRule="auto"/>
        <w:ind w:firstLine="420"/>
      </w:pPr>
      <w:r>
        <w:rPr>
          <w:rFonts w:ascii="Times New Roman" w:hAnsi="Times New Roman" w:eastAsia="楷体"/>
          <w:b w:val="0"/>
          <w:color w:val="000000"/>
          <w:sz w:val="21"/>
        </w:rPr>
        <w:t>产业结构方面，2025年郑州市三次产业结构为1.2:36.6:62.2，第二产业以电子信息（富士康郑州、超聚变）、汽车（宇通客车、上汽郑州）、装备制造、铝加工、食品工业为支柱；第三产业以商贸物流、金融、航空港经济为依托，郑州航空港与中欧班列（郑州）是全国跨境物流枢纽，对外贸易大幅领先一般二线城市。</w:t>
      </w:r>
    </w:p>
    <w:p>
      <w:pPr>
        <w:spacing w:before="0" w:after="60" w:line="360" w:lineRule="auto"/>
        <w:ind w:firstLine="420"/>
      </w:pPr>
      <w:r>
        <w:rPr>
          <w:rFonts w:ascii="Times New Roman" w:hAnsi="Times New Roman" w:eastAsia="楷体"/>
          <w:b w:val="0"/>
          <w:color w:val="000000"/>
          <w:sz w:val="21"/>
        </w:rPr>
        <w:t>经济动能方面，2023、2024年郑州市固定资产投资增速分别为6.80%、5.30%；2025年社会消费品零售总额6,629.40亿元，进出口总额909.53亿美元。</w:t>
      </w:r>
    </w:p>
    <w:p>
      <w:pPr>
        <w:spacing w:before="80" w:after="40" w:line="360" w:lineRule="auto"/>
        <w:ind w:firstLine="0"/>
        <w:jc w:val="center"/>
      </w:pPr>
      <w:r>
        <w:rPr>
          <w:rFonts w:ascii="Times New Roman" w:hAnsi="Times New Roman" w:eastAsia="楷体"/>
          <w:b/>
          <w:color w:val="000000"/>
          <w:sz w:val="21"/>
        </w:rPr>
        <w:t>图表：2025年河南省各地级市主要经济指标对比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郑州市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15,244.60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1.2:36.6:62.2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1,181.30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1313.80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洛阳市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6,164.52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3.7:40.1:56.2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421.80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708.30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5,167.86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15.3:31.9:52.8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228.30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939.50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周口市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3,810.83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15.5:32.5:52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220.64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859.90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新乡市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3,687.07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234.72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许昌市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3,583.40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5.8:42.6:51.6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192.13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434.60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驻马店市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3,501.64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15.5:32.1:52.4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214.04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商丘市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3,475.38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17.3:32.2:50.5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193.40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756.40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信阳市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3,196.70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15.9:31.3:52.8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137.16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595.70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平顶山市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2,929.40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226.62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开封市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2,860.06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12.6:34.6:52.8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139.70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468.70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安阳市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2,765.80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7.75:39.26:52.99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244.20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焦作市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2,479.60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濮阳市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2,106.17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10.5:37.4:52.1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123.50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漯河市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1,953.95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三门峡市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1,702.61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149.51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199.50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鹤壁市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1,144.12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6.8:48.8:44.4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155.40</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郑州市2025年GDP总量15,244.60亿元、列全省第一位，约为省内第二的洛阳市（6,164.52亿元）的2.5倍，“一城独大”格局明显；一般公共预算收入1,181.30亿元、稳居全省第一。整体来看，郑州市在河南省内的经济与财政地位极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郑州市财政体量在河南省稳居第一，税收占比处于六成以上、财政质量中等偏上；但受房地产市场调整影响，政府性基金收入较2023年累计下降28%、土地财政贡献度有所弱化；2025年末宽口径债务率907.35%、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郑州市一般公共预算收入分别为1,165.85亿元、1,155.04亿元、1,181.30亿元，在河南省内稳居第一；其中税收收入分别为786.38亿元、775.39亿元、795.90亿元，税收占比维持在67.45%、67.13%、67.37%，处于六成以上、财政质量中等偏上。一般公共预算支出分别为1,519.62亿元、1,525.71亿元、1,517.10亿元，财政自给率76.72%、75.70%、77.87%，财政自给率处于中等水平。</w:t>
      </w:r>
    </w:p>
    <w:p>
      <w:pPr>
        <w:spacing w:before="0" w:after="60" w:line="360" w:lineRule="auto"/>
        <w:ind w:firstLine="420"/>
      </w:pPr>
      <w:r>
        <w:rPr>
          <w:rFonts w:ascii="Times New Roman" w:hAnsi="Times New Roman" w:eastAsia="楷体"/>
          <w:b w:val="0"/>
          <w:color w:val="000000"/>
          <w:sz w:val="21"/>
        </w:rPr>
        <w:t>政府性基金收入方面，2023、2024、2025年郑州市政府性基金收入分别为387.86亿元、347.72亿元、277.50亿元，较2023年累计下降28%、土地财政贡献度有所弱化，反映地方综合财力对房地产周期与土地市场的敞口较大。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图表：2023-2025年郑州市财政收入情况(单位:亿元、%)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1,165.85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1,155.04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1,181.30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786.38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775.39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1,519.62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1,525.71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1,517.10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-0.56%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387.86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-20.19%</w:t>
            </w:r>
          </w:p>
        </w:tc>
      </w:tr>
    </w:tbl>
    <w:p>
      <w:pPr>
        <w:spacing w:before="0" w:after="80" w:line="360" w:lineRule="auto"/>
        <w:ind w:firstLine="0"/>
      </w:pPr>
      <w:r>
        <w:rPr>
          <w:rFonts w:ascii="Times New Roman" w:hAnsi="Times New Roman" w:eastAsia="楷体"/>
          <w:b w:val="0"/>
          <w:color w:val="000000"/>
          <w:sz w:val="19"/>
        </w:rPr>
        <w:t>资料来源:郑州市财政决算、企业预警通,风控信评部整理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郑州市经营性用地成交价分别为1,026.36亿元、514.64亿元、399.93亿元、283.02亿元、220.67亿元，2025年较2021年下降78.50%；同期平均溢价率为6.11%、0.64%、0.84%、1.83%、3.84%，整体处于低位、反映市场化主体拿地意愿与未来房价预期偏弱；成交楼面均价由2,385元/㎡降至1,022元/㎡、累计下降57.15%。2026年1-4月，郑州市经营性用地累计成交44宗、规划建面308.93万㎡、成交价28.12亿元，延续低位运行。</w:t>
      </w:r>
    </w:p>
    <w:p>
      <w:pPr>
        <w:spacing w:before="80" w:after="40" w:line="360" w:lineRule="auto"/>
        <w:ind w:firstLine="0"/>
        <w:jc w:val="center"/>
      </w:pPr>
      <w:r>
        <w:rPr>
          <w:rFonts w:ascii="Times New Roman" w:hAnsi="Times New Roman" w:eastAsia="楷体"/>
          <w:b/>
          <w:color w:val="000000"/>
          <w:sz w:val="21"/>
        </w:rPr>
        <w:t>图表:2021-2025年郑州市土地出让情况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4,303.47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2,385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1,026.36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4,055.81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1,269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0.64%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514.64</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3,199.36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1,250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0.84%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399.93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4,146.79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283.02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2,156.42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220.67</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308.93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28.12</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郑州市商品住宅成交面积由1,466.22万㎡变动至575.18万㎡、累计下降60.8%；新房均价2025年为11,458元/㎡、较2021年高点(12,956元/㎡)累计下跌11.56%。二手房市场仍处于深度调整，据中指冰山指数(最低挂牌价口径)，郑州二手房挂牌价较2018年5月高点累计下跌51.16%，2023年累计跌幅-9.19%、2024年累计跌幅-12.39%、2025年累计跌幅-14.00%。</w:t>
      </w:r>
    </w:p>
    <w:p>
      <w:pPr>
        <w:spacing w:before="0" w:after="60" w:line="360" w:lineRule="auto"/>
        <w:ind w:firstLine="420"/>
      </w:pPr>
      <w:r>
        <w:rPr>
          <w:rFonts w:ascii="Times New Roman" w:hAnsi="Times New Roman" w:eastAsia="楷体"/>
          <w:b w:val="0"/>
          <w:color w:val="000000"/>
          <w:sz w:val="21"/>
        </w:rPr>
        <w:t>政府债务方面，2023、2024、2025年末郑州市地方政府债务余额分别为3,355.33亿元、3,938.82亿元、4,672.90亿元，两年累计增长39.27%，主要源于地方专项债加快发行及置换债集中落地；2025年末债务限额4,748.40亿元，债务余额控制在限额以内。城投有息债务方面，2025年末估算余额为8,929.15亿元、规模在全国地级市中位居前列，较2023年末增长12.70%。债务率指标看，2025年末郑州市政府债务率311.71%、城投债务率595.63%、宽口径债务率907.35%，较2023年末抬升428.11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郑州市省内地位绝对核心、枢纽优势强，但经济与财政质量在中部主要省会中处于中游、土地财政深度调整、债务压力突出。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