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360" w:lineRule="auto"/>
        <w:ind w:firstLine="0"/>
        <w:jc w:val="center"/>
      </w:pPr>
      <w:r>
        <w:rPr>
          <w:rFonts w:ascii="Times New Roman" w:hAnsi="Times New Roman" w:eastAsia="楷体"/>
          <w:b/>
          <w:color w:val="000000"/>
          <w:sz w:val="28"/>
        </w:rPr>
        <w:t>温州市信用评级报告(区域部分)</w:t>
      </w:r>
    </w:p>
    <w:p>
      <w:pPr>
        <w:spacing w:before="200" w:after="100" w:line="360" w:lineRule="auto"/>
        <w:ind w:firstLine="0"/>
      </w:pPr>
      <w:r>
        <w:rPr>
          <w:rFonts w:ascii="Times New Roman" w:hAnsi="Times New Roman" w:eastAsia="楷体"/>
          <w:b/>
          <w:color w:val="000000"/>
          <w:sz w:val="21"/>
        </w:rPr>
        <w:t>一、区域经济分析</w:t>
      </w:r>
    </w:p>
    <w:p>
      <w:pPr>
        <w:spacing w:before="120" w:after="60" w:line="360" w:lineRule="auto"/>
        <w:ind w:firstLine="0"/>
      </w:pPr>
      <w:r>
        <w:rPr>
          <w:rFonts w:ascii="Times New Roman" w:hAnsi="Times New Roman" w:eastAsia="楷体"/>
          <w:b/>
          <w:color w:val="000000"/>
          <w:sz w:val="21"/>
        </w:rPr>
        <w:t>■ 温州作为浙江省下辖地级市，经济总量列浙江省第三位，人均GDP约10.34万元、人均经济实力在省内相对靠后，民营经济与市场活力突出，产业偏轻、转型升级持续推进。</w:t>
      </w:r>
    </w:p>
    <w:p>
      <w:pPr>
        <w:spacing w:before="0" w:after="60" w:line="360" w:lineRule="auto"/>
        <w:ind w:firstLine="420"/>
      </w:pPr>
      <w:r>
        <w:rPr>
          <w:rFonts w:ascii="Times New Roman" w:hAnsi="Times New Roman" w:eastAsia="楷体"/>
          <w:b w:val="0"/>
          <w:color w:val="000000"/>
          <w:sz w:val="21"/>
        </w:rPr>
        <w:t>温州市为浙江省地级市，是民营经济发祥地之一和东南沿海重要的商贸工业城市。2023、2024、2025年，温州市地区生产总值分别为9,220.58亿元、9,671.00亿元、10,213.90亿元，同比增长7.20%、6.30%、6.10%，由7.20%回落至6.10%、有所放缓。截至2025年末，全市常住人口990.20万人，人均GDP约10.34万元。</w:t>
      </w:r>
    </w:p>
    <w:p>
      <w:pPr>
        <w:spacing w:before="0" w:after="60" w:line="360" w:lineRule="auto"/>
        <w:ind w:firstLine="420"/>
      </w:pPr>
      <w:r>
        <w:rPr>
          <w:rFonts w:ascii="Times New Roman" w:hAnsi="Times New Roman" w:eastAsia="楷体"/>
          <w:b w:val="0"/>
          <w:color w:val="000000"/>
          <w:sz w:val="21"/>
        </w:rPr>
        <w:t>产业结构方面，2025年温州市三次产业结构为2:36.3:61.7，以电气、鞋革、服装、汽摩配、泵阀等民营轻工制造为特色，市场经济与民间资本高度发达，正培育数字经济、新能源等新兴产业。</w:t>
      </w:r>
    </w:p>
    <w:p>
      <w:pPr>
        <w:spacing w:before="0" w:after="60" w:line="360" w:lineRule="auto"/>
        <w:ind w:firstLine="420"/>
      </w:pPr>
      <w:r>
        <w:rPr>
          <w:rFonts w:ascii="Times New Roman" w:hAnsi="Times New Roman" w:eastAsia="楷体"/>
          <w:b w:val="0"/>
          <w:color w:val="000000"/>
          <w:sz w:val="21"/>
        </w:rPr>
        <w:t>经济动能方面，2023、2024、2025年温州市固定资产投资增速分别为7.40%、-0.80%、-14.70%，在房地产投资承压、部分大型项目接续不足的背景下有所走弱；2025年社会消费品零售总额5,143.90亿元，进出口总额436.31亿美元。</w:t>
      </w:r>
    </w:p>
    <w:p>
      <w:pPr>
        <w:spacing w:before="80" w:after="40" w:line="360" w:lineRule="auto"/>
        <w:ind w:firstLine="0"/>
        <w:jc w:val="center"/>
      </w:pPr>
      <w:r>
        <w:rPr>
          <w:rFonts w:ascii="Times New Roman" w:hAnsi="Times New Roman" w:eastAsia="楷体"/>
          <w:b/>
          <w:color w:val="000000"/>
          <w:sz w:val="21"/>
        </w:rPr>
        <w:t>图表：2025年浙江省各地级市主要经济指标对比</w:t>
      </w:r>
    </w:p>
    <w:tbl>
      <w:tblPr>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地级市</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GDP(亿元)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人均GDP(万元)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GDP增速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三次产业结构</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一般预算(亿元)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常住人口(万人)</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杭州市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23,011.00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18.17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1.7:24.5:73.8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2,693.21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1270.00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宁波市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18,716.00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19.09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4.90%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2.5:42:55.5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1,795.23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983.30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温州市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10,213.90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10.34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2:36.3:61.7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647.03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990.20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绍兴市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8,932.10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16.43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3:47:50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603.45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544.30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嘉兴市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7,851.06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13.99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2:48.4:49.6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652.44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561.30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金华市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7,313.47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6.32%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2.3:37.4:60.3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555.63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726.90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台州市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7,005.87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10.39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5.2:41.8:53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517.47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676.00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湖州市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4,452.80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5.90%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4.2:46:49.8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389.50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347.20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衢州市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2,401.63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10.45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4.1:40.5:55.4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216.10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229.70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舟山市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2,346.10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19.90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9.5:42.1:48.4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217.52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118.10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丽水市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2,301.40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9.08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5.6:35.4:59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198.05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253.90</w:t>
            </w:r>
          </w:p>
        </w:tc>
      </w:tr>
    </w:tbl>
    <w:p>
      <w:pPr>
        <w:spacing w:before="0" w:after="80" w:line="360" w:lineRule="auto"/>
        <w:ind w:firstLine="0"/>
      </w:pPr>
      <w:r>
        <w:rPr>
          <w:rFonts w:ascii="Times New Roman" w:hAnsi="Times New Roman" w:eastAsia="楷体"/>
          <w:b w:val="0"/>
          <w:color w:val="000000"/>
          <w:sz w:val="19"/>
        </w:rPr>
        <w:t>资料来源：各市统计公报、企业预警通，风控信评部整理。注：部分城市人均GDP系按当年GDP与常住人口估算。</w:t>
      </w:r>
    </w:p>
    <w:p>
      <w:pPr>
        <w:spacing w:before="0" w:after="60" w:line="360" w:lineRule="auto"/>
        <w:ind w:firstLine="420"/>
      </w:pPr>
      <w:r>
        <w:rPr>
          <w:rFonts w:ascii="Times New Roman" w:hAnsi="Times New Roman" w:eastAsia="楷体"/>
          <w:b w:val="0"/>
          <w:color w:val="000000"/>
          <w:sz w:val="21"/>
        </w:rPr>
        <w:t>省内对比看，温州市2025年GDP总量10,213.90亿元、列全省第三位；一般公共预算收入647.03亿元、列全省第四位。整体来看，温州市在浙江省内的经济与财政地位较为重要，但放到同类城市横向看，产业结构升级与新旧动能转换仍是中长期需要关注的核心课题。</w:t>
      </w:r>
    </w:p>
    <w:p>
      <w:pPr>
        <w:spacing w:before="120" w:after="60" w:line="360" w:lineRule="auto"/>
        <w:ind w:firstLine="0"/>
      </w:pPr>
      <w:r>
        <w:rPr>
          <w:rFonts w:ascii="Times New Roman" w:hAnsi="Times New Roman" w:eastAsia="楷体"/>
          <w:b/>
          <w:color w:val="000000"/>
          <w:sz w:val="21"/>
        </w:rPr>
        <w:t>■ 温州市财政体量在浙江省处于中游，税收占比处于70%以上的较高水平、显著高于全国地级市平均、财政质量较好；但受房地产市场调整影响，政府性基金收入较2023年累计缩水超三成、土地财政贡献度显著弱化；2025年末宽口径债务率438.01%、处于偏高水平，已显著高于公认的 300% 偏高临界线，后续偿债压力值得关注。</w:t>
      </w:r>
    </w:p>
    <w:p>
      <w:pPr>
        <w:spacing w:before="0" w:after="60" w:line="360" w:lineRule="auto"/>
        <w:ind w:firstLine="420"/>
      </w:pPr>
      <w:r>
        <w:rPr>
          <w:rFonts w:ascii="Times New Roman" w:hAnsi="Times New Roman" w:eastAsia="楷体"/>
          <w:b w:val="0"/>
          <w:color w:val="000000"/>
          <w:sz w:val="21"/>
        </w:rPr>
        <w:t>财政收入方面，2023、2024、2025年温州市一般公共预算收入分别为622.68亿元、632.58亿元、647.03亿元，在浙江省内处于中游；其中税收收入分别为502.27亿元、505.88亿元、517.70亿元，税收占比维持在80.66%、79.97%、80.01%，处于70%以上的较高水平、显著高于全国地级市平均、财政质量较好。一般公共预算支出分别为1,175.94亿元、1,177.64亿元、1,206.07亿元，财政自给率52.95%、53.72%、53.65%，财政自给率偏低、刚性支出压力较大。</w:t>
      </w:r>
    </w:p>
    <w:p>
      <w:pPr>
        <w:spacing w:before="0" w:after="60" w:line="360" w:lineRule="auto"/>
        <w:ind w:firstLine="420"/>
      </w:pPr>
      <w:r>
        <w:rPr>
          <w:rFonts w:ascii="Times New Roman" w:hAnsi="Times New Roman" w:eastAsia="楷体"/>
          <w:b w:val="0"/>
          <w:color w:val="000000"/>
          <w:sz w:val="21"/>
        </w:rPr>
        <w:t>政府性基金收入方面，2023、2024、2025年温州市政府性基金收入分别为1,310.70亿元、958.96亿元、884.27亿元，较2023年累计缩水超三成、土地财政贡献度显著弱化，反映地方综合财力对房地产周期与土地市场的敞口较大。</w:t>
      </w:r>
    </w:p>
    <w:p>
      <w:pPr>
        <w:spacing w:before="80" w:after="40" w:line="360" w:lineRule="auto"/>
        <w:ind w:firstLine="0"/>
        <w:jc w:val="center"/>
      </w:pPr>
      <w:r>
        <w:rPr>
          <w:rFonts w:ascii="Times New Roman" w:hAnsi="Times New Roman" w:eastAsia="楷体"/>
          <w:b/>
          <w:color w:val="000000"/>
          <w:sz w:val="21"/>
        </w:rPr>
        <w:t>图表：2023-2025年温州市财政收入情况(单位:亿元、%)</w:t>
      </w:r>
    </w:p>
    <w:tbl>
      <w:tblPr>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项目</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2023年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2024年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2025年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一般公共预算收入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622.68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632.58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647.03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2.28%</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 xml:space="preserve">　其中:税收收入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502.27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505.88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0.72%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517.70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2.34%</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税收占比</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80.66%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79.97%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80.01%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一般公共预算支出</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1,175.94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1,177.64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0.14%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1,206.07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2.41%</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财政自给率</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52.95%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53.72%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53.65%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政府性基金收入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1,310.70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958.96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-26.84%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884.27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-7.79%</w:t>
            </w:r>
          </w:p>
        </w:tc>
      </w:tr>
    </w:tbl>
    <w:p>
      <w:pPr>
        <w:spacing w:before="0" w:after="80" w:line="360" w:lineRule="auto"/>
        <w:ind w:firstLine="0"/>
      </w:pPr>
      <w:r>
        <w:rPr>
          <w:rFonts w:ascii="Times New Roman" w:hAnsi="Times New Roman" w:eastAsia="楷体"/>
          <w:b w:val="0"/>
          <w:color w:val="000000"/>
          <w:sz w:val="19"/>
        </w:rPr>
        <w:t>资料来源:温州市财政决算、企业预警通,风控信评部整理</w:t>
      </w:r>
    </w:p>
    <w:p>
      <w:pPr>
        <w:spacing w:before="0" w:after="60" w:line="360" w:lineRule="auto"/>
        <w:ind w:firstLine="420"/>
      </w:pPr>
      <w:r>
        <w:rPr>
          <w:rFonts w:ascii="Times New Roman" w:hAnsi="Times New Roman" w:eastAsia="楷体"/>
          <w:b w:val="0"/>
          <w:color w:val="000000"/>
          <w:sz w:val="21"/>
        </w:rPr>
        <w:t>土地市场方面，2021、2022、2023、2024、2025年温州市经营性用地成交价分别为1,018.70亿元、628.10亿元、445.12亿元、341.11亿元、251.45亿元，2025年较2021年下降75.32%；同期平均溢价率为18.35%、3.17%、1.98%、2.58%、5.72%，整体处于低位、反映市场化主体拿地意愿与未来房价预期偏弱；成交楼面均价由3,584元/㎡降至1,056元/㎡、累计下降70.54%。2026年1-4月，温州市经营性用地累计成交176宗、规划建面739.08万㎡、成交价47.41亿元，延续低位运行。</w:t>
      </w:r>
    </w:p>
    <w:p>
      <w:pPr>
        <w:spacing w:before="80" w:after="40" w:line="360" w:lineRule="auto"/>
        <w:ind w:firstLine="0"/>
        <w:jc w:val="center"/>
      </w:pPr>
      <w:r>
        <w:rPr>
          <w:rFonts w:ascii="Times New Roman" w:hAnsi="Times New Roman" w:eastAsia="楷体"/>
          <w:b/>
          <w:color w:val="000000"/>
          <w:sz w:val="21"/>
        </w:rPr>
        <w:t>图表:2021-2025年温州市土地出让情况</w:t>
      </w:r>
    </w:p>
    <w:tbl>
      <w:tblPr>
        <w:tblW w:type="auto" w:w="0"/>
        <w:tblLayout w:type="autofit"/>
        <w:tblLook w:firstColumn="1" w:firstRow="1" w:lastColumn="0" w:lastRow="0" w:noHBand="0" w:noVBand="1" w:val="04A0"/>
      </w:tblPr>
      <w:tblGrid>
        <w:gridCol w:w="1568"/>
        <w:gridCol w:w="1568"/>
        <w:gridCol w:w="1568"/>
        <w:gridCol w:w="1568"/>
        <w:gridCol w:w="1568"/>
        <w:gridCol w:w="1568"/>
      </w:tblGrid>
      <w:tr>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年度</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土地宗数</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规划建面(万㎡)</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成交楼面均价(元/㎡)</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平均溢价率</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成交价(亿元)</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452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2,842.53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3,584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18.35%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1,018.70</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447</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2,746.18</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2,287</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3.17%</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628.10</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368</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2,034.36</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2,188</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1.98%</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445.12</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428</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2,344.86</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1,454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2.58%</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341.11</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451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2,378.71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1,056</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5.72%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251.45</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2026年1-4月</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176</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739.08</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47.41</w:t>
            </w:r>
          </w:p>
        </w:tc>
      </w:tr>
    </w:tbl>
    <w:p>
      <w:pPr>
        <w:spacing w:before="0" w:after="80" w:line="360" w:lineRule="auto"/>
        <w:ind w:firstLine="0"/>
      </w:pPr>
      <w:r>
        <w:rPr>
          <w:rFonts w:ascii="Times New Roman" w:hAnsi="Times New Roman" w:eastAsia="楷体"/>
          <w:b w:val="0"/>
          <w:color w:val="000000"/>
          <w:sz w:val="19"/>
        </w:rPr>
        <w:t>资料来源:中指数据库,风控信评部整理</w:t>
      </w:r>
    </w:p>
    <w:p>
      <w:pPr>
        <w:spacing w:before="0" w:after="60" w:line="360" w:lineRule="auto"/>
        <w:ind w:firstLine="420"/>
      </w:pPr>
      <w:r>
        <w:rPr>
          <w:rFonts w:ascii="Times New Roman" w:hAnsi="Times New Roman" w:eastAsia="楷体"/>
          <w:b w:val="0"/>
          <w:color w:val="000000"/>
          <w:sz w:val="21"/>
        </w:rPr>
        <w:t>从房地产销售看，2021-2025年温州市商品住宅成交面积由942.82万㎡变动至542.93万㎡、累计下降42.4%；新房均价2025年为14,643元/㎡、较2021年高点(19,438元/㎡)累计下跌24.67%；2025年去化周期39.98个月。二手房市场仍处于深度调整，据中指冰山指数(最低挂牌价口径)，温州二手房挂牌价较2021年8月高点累计下跌49.62%，2023年累计跌幅-12.06%、2024年累计跌幅-16.21%、2025年累计跌幅-19.55%。</w:t>
      </w:r>
    </w:p>
    <w:p>
      <w:pPr>
        <w:spacing w:before="0" w:after="60" w:line="360" w:lineRule="auto"/>
        <w:ind w:firstLine="420"/>
      </w:pPr>
      <w:r>
        <w:rPr>
          <w:rFonts w:ascii="Times New Roman" w:hAnsi="Times New Roman" w:eastAsia="楷体"/>
          <w:b w:val="0"/>
          <w:color w:val="000000"/>
          <w:sz w:val="21"/>
        </w:rPr>
        <w:t>政府债务方面，2023、2024、2025年末温州市地方政府债务余额分别为3,074.71亿元、3,654.14亿元、4,380.54亿元，两年累计增长42.47%，主要源于地方专项债加快发行及置换债集中落地；2025年末债务限额4,380.62亿元，债务余额控制在限额以内。城投有息债务方面，2025年末估算余额为6,328.24亿元、规模在全国地级市中位居前列，较2023年末增长25.78%。债务率指标看，2025年末温州市政府债务率179.17%、城投债务率258.84%、宽口径债务率438.01%，较2023年末抬升159.11个百分点，显著高于公认的300%偏高临界线、在全国主要城市中处于较高水平。值得注意的是，政府性基金收入下滑是债务率分母端走低的重要因素，叠加债务规模快速扩张，对债务率指标形成放大效应。</w:t>
      </w:r>
    </w:p>
    <w:p>
      <w:pPr>
        <w:spacing w:before="0" w:after="60" w:line="360" w:lineRule="auto"/>
        <w:ind w:firstLine="420"/>
      </w:pPr>
      <w:r>
        <w:rPr>
          <w:rFonts w:ascii="Times New Roman" w:hAnsi="Times New Roman" w:eastAsia="楷体"/>
          <w:b w:val="0"/>
          <w:color w:val="000000"/>
          <w:sz w:val="21"/>
        </w:rPr>
        <w:t>综合来看，温州市民营经济根基深厚、市场活力强，区域信用环境总体可控。我们预计宽口径债务率短期内将维持高位，需重点关注后续化债进展、土地市场企稳情况以及融资平台合规整改对城投平台再融资能力的影响。</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楷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