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60" w:lineRule="auto"/>
        <w:ind w:firstLine="0"/>
        <w:jc w:val="center"/>
      </w:pPr>
      <w:r>
        <w:rPr>
          <w:rFonts w:ascii="Times New Roman" w:hAnsi="Times New Roman" w:eastAsia="楷体"/>
          <w:b/>
          <w:color w:val="000000"/>
          <w:sz w:val="28"/>
        </w:rPr>
        <w:t>绍兴市信用评级报告(区域部分)</w:t>
      </w:r>
    </w:p>
    <w:p>
      <w:pPr>
        <w:spacing w:before="200" w:after="100" w:line="360" w:lineRule="auto"/>
        <w:ind w:firstLine="0"/>
      </w:pPr>
      <w:r>
        <w:rPr>
          <w:rFonts w:ascii="Times New Roman" w:hAnsi="Times New Roman" w:eastAsia="楷体"/>
          <w:b/>
          <w:color w:val="000000"/>
          <w:sz w:val="21"/>
        </w:rPr>
        <w:t>一、区域经济分析</w:t>
      </w:r>
    </w:p>
    <w:p>
      <w:pPr>
        <w:spacing w:before="120" w:after="60" w:line="360" w:lineRule="auto"/>
        <w:ind w:firstLine="0"/>
      </w:pPr>
      <w:r>
        <w:rPr>
          <w:rFonts w:ascii="Times New Roman" w:hAnsi="Times New Roman" w:eastAsia="楷体"/>
          <w:b/>
          <w:color w:val="000000"/>
          <w:sz w:val="21"/>
        </w:rPr>
        <w:t>■ 绍兴作为浙江省下辖地级市，经济总量列浙江省第四位，人均GDP约16.43万元、人均经济实力居全省中游，传统产业与新兴产业并进、民营经济活跃。</w:t>
      </w:r>
    </w:p>
    <w:p>
      <w:pPr>
        <w:spacing w:before="0" w:after="60" w:line="360" w:lineRule="auto"/>
        <w:ind w:firstLine="420"/>
      </w:pPr>
      <w:r>
        <w:rPr>
          <w:rFonts w:ascii="Times New Roman" w:hAnsi="Times New Roman" w:eastAsia="楷体"/>
          <w:b w:val="0"/>
          <w:color w:val="000000"/>
          <w:sz w:val="21"/>
        </w:rPr>
        <w:t>绍兴市为浙江省地级市，地处杭甬之间，是长三角先进制造基地和历史文化名城。2023、2024、2025年，绍兴市地区生产总值分别为7,791.14亿元、8,369.00亿元、8,932.10亿元，同比增长7.80%、6.50%、6.50%，由7.80%回落至6.50%、有所放缓。截至2025年末，全市常住人口544.30万人，人均GDP约16.43万元。</w:t>
      </w:r>
    </w:p>
    <w:p>
      <w:pPr>
        <w:spacing w:before="0" w:after="60" w:line="360" w:lineRule="auto"/>
        <w:ind w:firstLine="420"/>
      </w:pPr>
      <w:r>
        <w:rPr>
          <w:rFonts w:ascii="Times New Roman" w:hAnsi="Times New Roman" w:eastAsia="楷体"/>
          <w:b w:val="0"/>
          <w:color w:val="000000"/>
          <w:sz w:val="21"/>
        </w:rPr>
        <w:t>产业结构方面，2025年绍兴市三次产业结构为3:47:50，以纺织印染、化工、黄酒、集成电路为支柱，是全国重要的纺织产业基地，近年集成电路与生物医药快速发展。</w:t>
      </w:r>
    </w:p>
    <w:p>
      <w:pPr>
        <w:spacing w:before="0" w:after="60" w:line="360" w:lineRule="auto"/>
        <w:ind w:firstLine="420"/>
      </w:pPr>
      <w:r>
        <w:rPr>
          <w:rFonts w:ascii="Times New Roman" w:hAnsi="Times New Roman" w:eastAsia="楷体"/>
          <w:b w:val="0"/>
          <w:color w:val="000000"/>
          <w:sz w:val="21"/>
        </w:rPr>
        <w:t>经济动能方面，2023、2024、2025年绍兴市固定资产投资增速分别为10.00%、1.90%、-3.20%，在房地产投资承压、部分大型项目接续不足的背景下有所走弱；2025年社会消费品零售总额3,255.00亿元，进出口总额540.96亿美元。</w:t>
      </w:r>
    </w:p>
    <w:p>
      <w:pPr>
        <w:spacing w:before="80" w:after="40" w:line="360" w:lineRule="auto"/>
        <w:ind w:firstLine="0"/>
        <w:jc w:val="center"/>
      </w:pPr>
      <w:r>
        <w:rPr>
          <w:rFonts w:ascii="Times New Roman" w:hAnsi="Times New Roman" w:eastAsia="楷体"/>
          <w:b/>
          <w:color w:val="000000"/>
          <w:sz w:val="21"/>
        </w:rPr>
        <w:t>图表：2025年浙江省各地级市主要经济指标对比</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地级市</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人均GDP(万元)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三次产业结构</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一般预算(亿元)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常住人口(万人)</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杭州市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23,011.00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18.17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1.7:24.5:73.8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2,693.21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1270.00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宁波市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18,716.00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19.09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2.5:42:55.5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1,795.23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983.30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温州市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10,213.90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10.34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2:36.3:61.7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647.03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990.20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绍兴市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8,932.10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16.43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3:47:50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603.45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544.30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嘉兴市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7,851.06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13.99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2:48.4:49.6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652.44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561.30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金华市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7,313.47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6.32%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2.3:37.4:60.3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555.63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726.90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台州市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7,005.87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10.39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5.2:41.8:53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517.47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676.00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湖州市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4,452.80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4.2:46:49.8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389.50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347.20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衢州市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2,401.63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10.45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4.1:40.5:55.4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216.10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229.70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舟山市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2,346.10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9.5:42.1:48.4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217.52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118.10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丽水市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2,301.40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9.08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5.6:35.4:59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198.05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253.90</w:t>
            </w:r>
          </w:p>
        </w:tc>
      </w:tr>
    </w:tbl>
    <w:p>
      <w:pPr>
        <w:spacing w:before="0" w:after="80" w:line="360" w:lineRule="auto"/>
        <w:ind w:firstLine="0"/>
      </w:pPr>
      <w:r>
        <w:rPr>
          <w:rFonts w:ascii="Times New Roman" w:hAnsi="Times New Roman" w:eastAsia="楷体"/>
          <w:b w:val="0"/>
          <w:color w:val="000000"/>
          <w:sz w:val="19"/>
        </w:rPr>
        <w:t>资料来源：各市统计公报、企业预警通，风控信评部整理。注：部分城市人均GDP系按当年GDP与常住人口估算。</w:t>
      </w:r>
    </w:p>
    <w:p>
      <w:pPr>
        <w:spacing w:before="0" w:after="60" w:line="360" w:lineRule="auto"/>
        <w:ind w:firstLine="420"/>
      </w:pPr>
      <w:r>
        <w:rPr>
          <w:rFonts w:ascii="Times New Roman" w:hAnsi="Times New Roman" w:eastAsia="楷体"/>
          <w:b w:val="0"/>
          <w:color w:val="000000"/>
          <w:sz w:val="21"/>
        </w:rPr>
        <w:t>省内对比看，绍兴市2025年GDP总量8,932.10亿元、列全省第四位；一般公共预算收入603.45亿元、列全省第五位。整体来看，绍兴市在浙江省内的经济与财政地位处于中游，但放到同类城市横向看，产业结构升级与新旧动能转换仍是中长期需要关注的核心课题。</w:t>
      </w:r>
    </w:p>
    <w:p>
      <w:pPr>
        <w:spacing w:before="120" w:after="60" w:line="360" w:lineRule="auto"/>
        <w:ind w:firstLine="0"/>
      </w:pPr>
      <w:r>
        <w:rPr>
          <w:rFonts w:ascii="Times New Roman" w:hAnsi="Times New Roman" w:eastAsia="楷体"/>
          <w:b/>
          <w:color w:val="000000"/>
          <w:sz w:val="21"/>
        </w:rPr>
        <w:t>■ 绍兴市财政体量在浙江省处于中游，税收占比处于70%以上的较高水平、显著高于全国地级市平均、财政质量较好；但受房地产市场调整影响，政府性基金收入近年总体保持平稳；2025年末宽口径债务率988.62%、处于偏高水平，已显著高于公认的 300% 偏高临界线，后续偿债压力值得关注。</w:t>
      </w:r>
    </w:p>
    <w:p>
      <w:pPr>
        <w:spacing w:before="0" w:after="60" w:line="360" w:lineRule="auto"/>
        <w:ind w:firstLine="420"/>
      </w:pPr>
      <w:r>
        <w:rPr>
          <w:rFonts w:ascii="Times New Roman" w:hAnsi="Times New Roman" w:eastAsia="楷体"/>
          <w:b w:val="0"/>
          <w:color w:val="000000"/>
          <w:sz w:val="21"/>
        </w:rPr>
        <w:t>财政收入方面，2023、2024、2025年绍兴市一般公共预算收入分别为578.75亿元、588.88亿元、603.45亿元，在浙江省内处于中游；其中税收收入分别为449.70亿元、448.28亿元、458.99亿元，税收占比维持在77.70%、76.12%、76.06%，处于70%以上的较高水平、显著高于全国地级市平均、财政质量较好。一般公共预算支出分别为778.64亿元、830.04亿元、812.13亿元，财政自给率74.33%、70.95%、74.30%，财政自给率处于中等水平。</w:t>
      </w:r>
    </w:p>
    <w:p>
      <w:pPr>
        <w:spacing w:before="0" w:after="60" w:line="360" w:lineRule="auto"/>
        <w:ind w:firstLine="420"/>
      </w:pPr>
      <w:r>
        <w:rPr>
          <w:rFonts w:ascii="Times New Roman" w:hAnsi="Times New Roman" w:eastAsia="楷体"/>
          <w:b w:val="0"/>
          <w:color w:val="000000"/>
          <w:sz w:val="21"/>
        </w:rPr>
        <w:t>政府性基金收入方面，2023、2024、2025年绍兴市政府性基金收入分别为445.07亿元、417.37亿元、407.19亿元，近年总体保持平稳。</w:t>
      </w:r>
    </w:p>
    <w:p>
      <w:pPr>
        <w:spacing w:before="80" w:after="40" w:line="360" w:lineRule="auto"/>
        <w:ind w:firstLine="0"/>
        <w:jc w:val="center"/>
      </w:pPr>
      <w:r>
        <w:rPr>
          <w:rFonts w:ascii="Times New Roman" w:hAnsi="Times New Roman" w:eastAsia="楷体"/>
          <w:b/>
          <w:color w:val="000000"/>
          <w:sz w:val="21"/>
        </w:rPr>
        <w:t>图表：2023-2025年绍兴市财政收入情况(单位:亿元、%)</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项目</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2023年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2024年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2025年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578.75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588.88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603.45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2.47%</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 xml:space="preserve">　其中:税收收入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449.70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448.28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-0.32%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458.99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2.39%</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税收占比</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77.70%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76.12%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76.06%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一般公共预算支出</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778.64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830.04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812.13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-2.16%</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财政自给率</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74.33%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70.95%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74.30%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政府性基金收入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445.07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417.37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-6.22%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407.19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-2.44%</w:t>
            </w:r>
          </w:p>
        </w:tc>
      </w:tr>
    </w:tbl>
    <w:p>
      <w:pPr>
        <w:spacing w:before="0" w:after="80" w:line="360" w:lineRule="auto"/>
        <w:ind w:firstLine="0"/>
      </w:pPr>
      <w:r>
        <w:rPr>
          <w:rFonts w:ascii="Times New Roman" w:hAnsi="Times New Roman" w:eastAsia="楷体"/>
          <w:b w:val="0"/>
          <w:color w:val="000000"/>
          <w:sz w:val="19"/>
        </w:rPr>
        <w:t>资料来源:绍兴市财政决算、企业预警通,风控信评部整理</w:t>
      </w:r>
    </w:p>
    <w:p>
      <w:pPr>
        <w:spacing w:before="0" w:after="60" w:line="360" w:lineRule="auto"/>
        <w:ind w:firstLine="420"/>
      </w:pPr>
      <w:r>
        <w:rPr>
          <w:rFonts w:ascii="Times New Roman" w:hAnsi="Times New Roman" w:eastAsia="楷体"/>
          <w:b w:val="0"/>
          <w:color w:val="000000"/>
          <w:sz w:val="21"/>
        </w:rPr>
        <w:t>土地市场方面，2021、2022、2023、2024、2025年绍兴市经营性用地成交价分别为771.18亿元、442.93亿元、363.41亿元、277.12亿元、215.08亿元，2025年较2021年下降72.11%；同期平均溢价率为18.69%、1.30%、4.23%、1.87%、1.51%，整体处于低位、反映市场化主体拿地意愿与未来房价预期偏弱；成交楼面均价由3,107元/㎡降至998元/㎡、累计下降67.88%。2026年1-4月，绍兴市经营性用地累计成交123宗、规划建面680.62万㎡、成交价50.87亿元，延续低位运行。</w:t>
      </w:r>
    </w:p>
    <w:p>
      <w:pPr>
        <w:spacing w:before="80" w:after="40" w:line="360" w:lineRule="auto"/>
        <w:ind w:firstLine="0"/>
        <w:jc w:val="center"/>
      </w:pPr>
      <w:r>
        <w:rPr>
          <w:rFonts w:ascii="Times New Roman" w:hAnsi="Times New Roman" w:eastAsia="楷体"/>
          <w:b/>
          <w:color w:val="000000"/>
          <w:sz w:val="21"/>
        </w:rPr>
        <w:t>图表:2021-2025年绍兴市土地出让情况</w:t>
      </w:r>
    </w:p>
    <w:tbl>
      <w:tblPr>
        <w:tblW w:type="auto" w:w="0"/>
        <w:tblLayout w:type="autofit"/>
        <w:tblLook w:firstColumn="1" w:firstRow="1" w:lastColumn="0" w:lastRow="0" w:noHBand="0" w:noVBand="1" w:val="04A0"/>
      </w:tblPr>
      <w:tblGrid>
        <w:gridCol w:w="1568"/>
        <w:gridCol w:w="1568"/>
        <w:gridCol w:w="1568"/>
        <w:gridCol w:w="1568"/>
        <w:gridCol w:w="1568"/>
        <w:gridCol w:w="1568"/>
      </w:tblGrid>
      <w:tr>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年度</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土地宗数</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规划建面(万㎡)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成交楼面均价(元/㎡)</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平均溢价率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成交价(亿元)</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2,482.20</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3,107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18.69%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771.18</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412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2,380.54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1,861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1.30%</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442.93</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338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2,271.79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1,600</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363.41</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365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2,089.06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1,324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277.12</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342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2,140.31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998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215.08</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2026年1-4月</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680.62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50.87</w:t>
            </w:r>
          </w:p>
        </w:tc>
      </w:tr>
    </w:tbl>
    <w:p>
      <w:pPr>
        <w:spacing w:before="0" w:after="80" w:line="360" w:lineRule="auto"/>
        <w:ind w:firstLine="0"/>
      </w:pPr>
      <w:r>
        <w:rPr>
          <w:rFonts w:ascii="Times New Roman" w:hAnsi="Times New Roman" w:eastAsia="楷体"/>
          <w:b w:val="0"/>
          <w:color w:val="000000"/>
          <w:sz w:val="19"/>
        </w:rPr>
        <w:t>资料来源:中指数据库,风控信评部整理</w:t>
      </w:r>
    </w:p>
    <w:p>
      <w:pPr>
        <w:spacing w:before="0" w:after="60" w:line="360" w:lineRule="auto"/>
        <w:ind w:firstLine="420"/>
      </w:pPr>
      <w:r>
        <w:rPr>
          <w:rFonts w:ascii="Times New Roman" w:hAnsi="Times New Roman" w:eastAsia="楷体"/>
          <w:b w:val="0"/>
          <w:color w:val="000000"/>
          <w:sz w:val="21"/>
        </w:rPr>
        <w:t>从房地产销售看，2021-2025年绍兴市商品住宅成交面积由204.09万㎡变动至49.34万㎡、累计下降75.8%；新房均价2025年为21,715元/㎡、较2022年高点(26,552元/㎡)累计下跌18.22%；2025年去化周期35.93个月。</w:t>
      </w:r>
    </w:p>
    <w:p>
      <w:pPr>
        <w:spacing w:before="0" w:after="60" w:line="360" w:lineRule="auto"/>
        <w:ind w:firstLine="420"/>
      </w:pPr>
      <w:r>
        <w:rPr>
          <w:rFonts w:ascii="Times New Roman" w:hAnsi="Times New Roman" w:eastAsia="楷体"/>
          <w:b w:val="0"/>
          <w:color w:val="000000"/>
          <w:sz w:val="21"/>
        </w:rPr>
        <w:t>政府债务方面，2023、2024、2025年末绍兴市地方政府债务余额分别为1,883.79亿元、2,216.35亿元、2,592.42亿元，两年累计增长37.62%，主要源于地方专项债加快发行及置换债集中落地；2025年末债务限额2,592.48亿元，债务余额控制在限额以内。城投有息债务方面，2025年末估算余额为12,562.08亿元、规模在全国地级市中位居前列，较2023年末增长19.40%。债务率指标看，2025年末绍兴市政府债务率169.12%、城投债务率819.50%、宽口径债务率988.62%，较2023年末抬升201.97个百分点，显著高于公认的300%偏高临界线、在全国主要城市中处于较高水平。</w:t>
      </w:r>
    </w:p>
    <w:p>
      <w:pPr>
        <w:spacing w:before="0" w:after="60" w:line="360" w:lineRule="auto"/>
        <w:ind w:firstLine="420"/>
      </w:pPr>
      <w:r>
        <w:rPr>
          <w:rFonts w:ascii="Times New Roman" w:hAnsi="Times New Roman" w:eastAsia="楷体"/>
          <w:b w:val="0"/>
          <w:color w:val="000000"/>
          <w:sz w:val="21"/>
        </w:rPr>
        <w:t>综合来看，绍兴市产业基础扎实、民营经济发达，区域信用环境较为稳健。我们预计宽口径债务率短期内将维持高位，需重点关注后续化债进展、土地市场企稳情况以及融资平台合规整改对城投平台再融资能力的影响。</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楷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