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海口市信用评级报告(区域部分)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海口作为海南省省会，经济总量在海南省稳居第一，人均GDP约8.39万元、人均经济实力在省内相对靠后，自贸港政策红利突出、服务业与开放型经济活跃，但经济体量偏小。</w:t>
      </w:r>
    </w:p>
    <w:p>
      <w:pPr>
        <w:spacing w:before="0" w:after="60" w:line="360" w:lineRule="auto"/>
        <w:ind w:firstLine="420"/>
      </w:pPr>
      <w:r>
        <w:rPr>
          <w:rFonts w:ascii="Times New Roman" w:hAnsi="Times New Roman" w:eastAsia="楷体"/>
          <w:b w:val="0"/>
          <w:color w:val="000000"/>
          <w:sz w:val="21"/>
        </w:rPr>
        <w:t>海口市为海南省省会，是海南自由贸易港核心城市和我国面向东南亚的开放门户。2023、2024、2025年，海口市地区生产总值分别为2,358.44亿元、2,470.63亿元、2,562.85亿元，同比增长9.30%、4.00%、4.80%，由9.30%回落至4.80%、有所放缓。截至2025年末，全市常住人口305.63万人，人均GDP约8.39万元（按当年GDP与常住人口估算）。</w:t>
      </w:r>
    </w:p>
    <w:p>
      <w:pPr>
        <w:spacing w:before="0" w:after="60" w:line="360" w:lineRule="auto"/>
        <w:ind w:firstLine="420"/>
      </w:pPr>
      <w:r>
        <w:rPr>
          <w:rFonts w:ascii="Times New Roman" w:hAnsi="Times New Roman" w:eastAsia="楷体"/>
          <w:b w:val="0"/>
          <w:color w:val="000000"/>
          <w:sz w:val="21"/>
        </w:rPr>
        <w:t>产业结构方面，2025年海口市三次产业结构为4.3:16.6:79.1，以旅游、现代服务业、热带高效农业、医药健康为支柱，依托自贸港政策，免税消费、总部经济、临空经济快速发展。</w:t>
      </w:r>
    </w:p>
    <w:p>
      <w:pPr>
        <w:spacing w:before="0" w:after="60" w:line="360" w:lineRule="auto"/>
        <w:ind w:firstLine="420"/>
      </w:pPr>
      <w:r>
        <w:rPr>
          <w:rFonts w:ascii="Times New Roman" w:hAnsi="Times New Roman" w:eastAsia="楷体"/>
          <w:b w:val="0"/>
          <w:color w:val="000000"/>
          <w:sz w:val="21"/>
        </w:rPr>
        <w:t>经济动能方面，2023、2024、2025年海口市固定资产投资增速分别为4.70%、1.50%、-28.50%，在房地产投资承压、部分大型项目接续不足的背景下有所走弱；2025年社会消费品零售总额1,185.92亿元，进出口总额130.49亿美元。</w:t>
      </w:r>
    </w:p>
    <w:p>
      <w:pPr>
        <w:spacing w:before="80" w:after="40" w:line="360" w:lineRule="auto"/>
        <w:ind w:firstLine="0"/>
        <w:jc w:val="center"/>
      </w:pPr>
      <w:r>
        <w:rPr>
          <w:rFonts w:ascii="Times New Roman" w:hAnsi="Times New Roman" w:eastAsia="楷体"/>
          <w:b/>
          <w:color w:val="000000"/>
          <w:sz w:val="21"/>
        </w:rPr>
        <w:t>图表：2025年海南省各地级市主要经济指标对比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海口市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2,562.85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4.3:16.6:79.1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305.63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三亚市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1,033.88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10.8:13.3:75.9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113.60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儋州市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1,030.34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16.5:29.9:53.6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65.01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102.87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三沙市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0.27</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海口市2025年GDP总量2,562.85亿元、列全省第一位，约为省内第二的三亚市（1,033.88亿元）的2.5倍，“一城独大”格局明显；一般公共预算收入253.80亿元、稳居全省第一。整体来看，海口市在海南省内的经济与财政地位极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海口市财政体量在海南省稳居第一，税收占比处于70%以上的较高水平、显著高于全国地级市平均、财政质量较好；但受房地产市场调整影响，政府性基金收入较2023年累计缩水超三成、土地财政贡献度显著弱化；2025年末宽口径债务率450.86%、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海口市一般公共预算收入分别为266.87亿元、258.26亿元、253.80亿元，在海南省内稳居第一；其中税收收入分别为224.18亿元、208.85亿元、213.40亿元，税收占比维持在84.01%、80.87%、84.08%，处于70%以上的较高水平、显著高于全国地级市平均、财政质量较好。一般公共预算支出分别为369.54亿元、372.07亿元、336.70亿元，财政自给率72.22%、69.41%、75.38%，财政自给率处于中等水平。</w:t>
      </w:r>
    </w:p>
    <w:p>
      <w:pPr>
        <w:spacing w:before="0" w:after="60" w:line="360" w:lineRule="auto"/>
        <w:ind w:firstLine="420"/>
      </w:pPr>
      <w:r>
        <w:rPr>
          <w:rFonts w:ascii="Times New Roman" w:hAnsi="Times New Roman" w:eastAsia="楷体"/>
          <w:b w:val="0"/>
          <w:color w:val="000000"/>
          <w:sz w:val="21"/>
        </w:rPr>
        <w:t>政府性基金收入方面，2023、2024、2025年海口市政府性基金收入分别为140.39亿元、120.43亿元、68.40亿元，较2023年累计缩水超三成、土地财政贡献度显著弱化，反映地方综合财力对房地产周期与土地市场的敞口较大。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图表：2023-2025年海口市财政收入情况(单位:亿元、%)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266.87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258.26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224.18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208.85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2.18%</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84.01%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84.08%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369.54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372.07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336.70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-9.51%</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140.39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120.43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-43.20%</w:t>
            </w:r>
          </w:p>
        </w:tc>
      </w:tr>
    </w:tbl>
    <w:p>
      <w:pPr>
        <w:spacing w:before="0" w:after="80" w:line="360" w:lineRule="auto"/>
        <w:ind w:firstLine="0"/>
      </w:pPr>
      <w:r>
        <w:rPr>
          <w:rFonts w:ascii="Times New Roman" w:hAnsi="Times New Roman" w:eastAsia="楷体"/>
          <w:b w:val="0"/>
          <w:color w:val="000000"/>
          <w:sz w:val="19"/>
        </w:rPr>
        <w:t>资料来源:海口市财政决算、企业预警通,风控信评部整理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海口市经营性用地成交价分别为90.17亿元、126.03亿元、106.52亿元、120.74亿元、54.01亿元，2025年较2021年下降40.10%；同期平均溢价率为7.78%、1.37%、0.84%、0.82%、0.37%，整体处于低位、反映市场化主体拿地意愿与未来房价预期偏弱；成交楼面均价由2,597元/㎡降至2,306元/㎡、累计下降11.21%。2026年1-4月，海口市经营性用地累计成交14宗、规划建面33.33万㎡、成交价8.27亿元，延续低位运行。</w:t>
      </w:r>
    </w:p>
    <w:p>
      <w:pPr>
        <w:spacing w:before="80" w:after="40" w:line="360" w:lineRule="auto"/>
        <w:ind w:firstLine="0"/>
        <w:jc w:val="center"/>
      </w:pPr>
      <w:r>
        <w:rPr>
          <w:rFonts w:ascii="Times New Roman" w:hAnsi="Times New Roman" w:eastAsia="楷体"/>
          <w:b/>
          <w:color w:val="000000"/>
          <w:sz w:val="21"/>
        </w:rPr>
        <w:t>图表:2021-2025年海口市土地出让情况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347.15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2,597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90.17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390.62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3,217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126.03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3,068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106.52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412.38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2,928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120.74</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233.44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2,306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33.33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8.27</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从房地产销售看，2021-2025年海口市商品住宅成交面积由564.10万㎡变动至381.81万㎡、累计下降32.3%；新房均价2025年为12,426元/㎡、较2023年高点(16,982元/㎡)累计下跌26.83%；2025年去化周期24.10个月。</w:t>
      </w:r>
    </w:p>
    <w:p>
      <w:pPr>
        <w:spacing w:before="0" w:after="60" w:line="360" w:lineRule="auto"/>
        <w:ind w:firstLine="420"/>
      </w:pPr>
      <w:r>
        <w:rPr>
          <w:rFonts w:ascii="Times New Roman" w:hAnsi="Times New Roman" w:eastAsia="楷体"/>
          <w:b w:val="0"/>
          <w:color w:val="000000"/>
          <w:sz w:val="21"/>
        </w:rPr>
        <w:t>政府债务方面，2023、2024、2025年末海口市地方政府债务余额分别为889.45亿元、1,141.70亿元、1,376.78亿元，两年累计增长54.79%，主要源于地方专项债加快发行及置换债集中落地；2025年末债务限额1,410.98亿元，债务余额控制在限额以内。城投有息债务方面，2025年末估算余额为84.63亿元，较2023年末增长450.98%。债务率指标看，2025年末海口市政府债务率424.75%、城投债务率26.11%、宽口径债务率450.86%，较2023年末抬升322.07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海口市自贸港政策赋能、成长性较好，但经济体量偏小，区域信用环境总体可控。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