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宜昌市信用评级报告(区域部分)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宜昌作为湖北省下辖地级市，经济总量列湖北省第二位，人均GDP约16.52万元、人均经济实力居全省前列，水电与化工优势突出、经济总量居湖北第二。</w:t>
      </w:r>
    </w:p>
    <w:p>
      <w:pPr>
        <w:spacing w:before="0" w:after="60" w:line="360" w:lineRule="auto"/>
        <w:ind w:firstLine="420"/>
      </w:pPr>
      <w:r>
        <w:rPr>
          <w:rFonts w:ascii="Times New Roman" w:hAnsi="Times New Roman" w:eastAsia="楷体"/>
          <w:b w:val="0"/>
          <w:color w:val="000000"/>
          <w:sz w:val="21"/>
        </w:rPr>
        <w:t>宜昌市为湖北省地级市，地处长江中上游结合部、三峡工程所在地，是长江中游重要的区域性中心城市。2023、2024、2025年，宜昌市地区生产总值分别为5,773.68亿元、6,191.12亿元、6,464.42亿元，同比增长7.10%、6.46%、6.10%，由7.10%回落至6.10%、有所放缓。截至2025年末，全市常住人口390.06万人，人均GDP约16.52万元。</w:t>
      </w:r>
    </w:p>
    <w:p>
      <w:pPr>
        <w:spacing w:before="0" w:after="60" w:line="360" w:lineRule="auto"/>
        <w:ind w:firstLine="420"/>
      </w:pPr>
      <w:r>
        <w:rPr>
          <w:rFonts w:ascii="Times New Roman" w:hAnsi="Times New Roman" w:eastAsia="楷体"/>
          <w:b w:val="0"/>
          <w:color w:val="000000"/>
          <w:sz w:val="21"/>
        </w:rPr>
        <w:t>产业结构方面，2025年宜昌市三次产业结构为10.8:39.5:49.7，以水电、绿色化工、生物医药、装备制造、文旅为支柱，聚集兴发集团、安琪酵母、宜化等企业，依托三峡的清洁能源与精细化工优势突出。</w:t>
      </w:r>
    </w:p>
    <w:p>
      <w:pPr>
        <w:spacing w:before="0" w:after="60" w:line="360" w:lineRule="auto"/>
        <w:ind w:firstLine="420"/>
      </w:pPr>
      <w:r>
        <w:rPr>
          <w:rFonts w:ascii="Times New Roman" w:hAnsi="Times New Roman" w:eastAsia="楷体"/>
          <w:b w:val="0"/>
          <w:color w:val="000000"/>
          <w:sz w:val="21"/>
        </w:rPr>
        <w:t>经济动能方面，2023、2024、2025年宜昌市固定资产投资增速分别为10.00%、9.00%、5.60%；2025年社会消费品零售总额2,376.24亿元，进出口总额76.23亿美元。</w:t>
      </w:r>
    </w:p>
    <w:p>
      <w:pPr>
        <w:spacing w:before="80" w:after="40" w:line="360" w:lineRule="auto"/>
        <w:ind w:firstLine="0"/>
        <w:jc w:val="center"/>
      </w:pPr>
      <w:r>
        <w:rPr>
          <w:rFonts w:ascii="Times New Roman" w:hAnsi="Times New Roman" w:eastAsia="楷体"/>
          <w:b/>
          <w:color w:val="000000"/>
          <w:sz w:val="21"/>
        </w:rPr>
        <w:t>图表：2025年湖北省各地级市主要经济指标对比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武汉市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22,147.35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2.2:29.7:68.1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1,743.06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1386.19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宜昌市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6,464.42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10.8:39.5:49.7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327.05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390.06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襄阳市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6,113.85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303.72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荆州市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3,712.34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17.9:35.2:46.9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190.99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508.29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孝感市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3,398.86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209.31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黄冈市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3,303.59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17.5:32.3:50.2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575.00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十堰市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2,704.80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9:36.2:54.8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168.18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312.45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荆门市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2,602.26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145.31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253.43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黄石市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2,430.28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213.50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咸宁市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2,033.31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14.3:32.3:53.4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126.05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258.93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恩施土家族苗族自治州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1,741.97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17.9:22.7:59.4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110.71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335.23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随州市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1,502.81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12.8:38.4:48.8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75.28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198.83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鄂州市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1,416.02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13.25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7.9:41.4:50.7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107.14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106.88</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宜昌市2025年GDP总量6,464.42亿元、列全省第二位；一般公共预算收入327.05亿元、列全省第二位。整体来看，宜昌市在湖北省内的经济与财政地位较为重要，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宜昌市财政体量在湖北省位居前列，税收占比处于70%以上的较高水平、显著高于全国地级市平均、财政质量较好；但受房地产市场调整影响，政府性基金收入较2023年累计下降20%、土地财政贡献度有所弱化；2025年末宽口径债务率1007.05%、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宜昌市一般公共预算收入分别为268.99亿元、294.07亿元、327.05亿元，在湖北省内位居前列；其中税收收入分别为203.83亿元、220.88亿元、236.14亿元，税收占比维持在75.78%、75.11%、72.20%，处于70%以上的较高水平、显著高于全国地级市平均、财政质量较好。一般公共预算支出分别为680.14亿元、721.24亿元、694.98亿元，财政自给率39.55%、40.77%、47.06%，财政自给率偏低、刚性支出压力较大。</w:t>
      </w:r>
    </w:p>
    <w:p>
      <w:pPr>
        <w:spacing w:before="0" w:after="60" w:line="360" w:lineRule="auto"/>
        <w:ind w:firstLine="420"/>
      </w:pPr>
      <w:r>
        <w:rPr>
          <w:rFonts w:ascii="Times New Roman" w:hAnsi="Times New Roman" w:eastAsia="楷体"/>
          <w:b w:val="0"/>
          <w:color w:val="000000"/>
          <w:sz w:val="21"/>
        </w:rPr>
        <w:t>政府性基金收入方面，2023、2024年宜昌市政府性基金收入分别为242.51亿元、195.20亿元，较2023年累计下降20%、土地财政贡献度有所弱化，反映地方综合财力对房地产周期与土地市场的敞口较大。</w:t>
      </w:r>
    </w:p>
    <w:p>
      <w:pPr>
        <w:spacing w:before="80" w:after="40" w:line="360" w:lineRule="auto"/>
        <w:ind w:firstLine="0"/>
        <w:jc w:val="center"/>
      </w:pPr>
      <w:r>
        <w:rPr>
          <w:rFonts w:ascii="Times New Roman" w:hAnsi="Times New Roman" w:eastAsia="楷体"/>
          <w:b/>
          <w:color w:val="000000"/>
          <w:sz w:val="21"/>
        </w:rPr>
        <w:t>图表：2023-2025年宜昌市财政收入情况(单位:亿元、%)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268.99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294.07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327.05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11.22%</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203.83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220.88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8.36%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236.14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6.91%</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680.14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721.24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694.98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47.06%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242.51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-19.51%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bl>
    <w:p>
      <w:pPr>
        <w:spacing w:before="0" w:after="80" w:line="360" w:lineRule="auto"/>
        <w:ind w:firstLine="0"/>
      </w:pPr>
      <w:r>
        <w:rPr>
          <w:rFonts w:ascii="Times New Roman" w:hAnsi="Times New Roman" w:eastAsia="楷体"/>
          <w:b w:val="0"/>
          <w:color w:val="000000"/>
          <w:sz w:val="19"/>
        </w:rPr>
        <w:t>资料来源:宜昌市财政决算、企业预警通,风控信评部整理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宜昌市经营性用地成交价分别为161.35亿元、176.21亿元、188.61亿元、163.33亿元、161.87亿元，2025年较2021年变动0.32%；同期平均溢价率为1.36%、1.02%、0.56%、0.17%、0.38%，整体处于低位、反映市场化主体拿地意愿与未来房价预期偏弱；成交楼面均价为771元/㎡。2026年1-4月，宜昌市经营性用地累计成交96宗、规划建面423.86万㎡、成交价14.46亿元，延续低位运行。</w:t>
      </w:r>
    </w:p>
    <w:p>
      <w:pPr>
        <w:spacing w:before="80" w:after="40" w:line="360" w:lineRule="auto"/>
        <w:ind w:firstLine="0"/>
        <w:jc w:val="center"/>
      </w:pPr>
      <w:r>
        <w:rPr>
          <w:rFonts w:ascii="Times New Roman" w:hAnsi="Times New Roman" w:eastAsia="楷体"/>
          <w:b/>
          <w:color w:val="000000"/>
          <w:sz w:val="21"/>
        </w:rPr>
        <w:t>图表:2021-2025年宜昌市土地出让情况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2,677.54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161.35</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433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2,667.96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176.21</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432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2,467.52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764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0.56%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188.61</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1,705.13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950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0.17%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163.33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2,099.16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771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0.38%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161.87</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423.86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14.46</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从房地产销售看，2021-2025年宜昌市商品住宅成交面积由256.09万㎡变动至117.69万㎡、累计下降54.0%；新房均价2025年为7,722元/㎡、较2021年高点(7,815元/㎡)累计下跌1.19%。</w:t>
      </w:r>
    </w:p>
    <w:p>
      <w:pPr>
        <w:spacing w:before="0" w:after="60" w:line="360" w:lineRule="auto"/>
        <w:ind w:firstLine="420"/>
      </w:pPr>
      <w:r>
        <w:rPr>
          <w:rFonts w:ascii="Times New Roman" w:hAnsi="Times New Roman" w:eastAsia="楷体"/>
          <w:b w:val="0"/>
          <w:color w:val="000000"/>
          <w:sz w:val="21"/>
        </w:rPr>
        <w:t>政府债务方面，2023、2024、2025年末宜昌市地方政府债务余额分别为987.17亿元、1,214.82亿元、1,470.96亿元，两年累计增长49.01%，主要源于地方专项债加快发行及置换债集中落地；2025年末债务限额1,561.93亿元，债务余额控制在限额以内。城投有息债务方面，2025年末估算余额为1,822.64亿元，较2023年末下降5.97%。债务率指标看，2025年末宜昌市政府债务率449.76%、城投债务率557.29%、宽口径债务率1007.05%，较2023年末抬升485.40个百分点，显著高于公认的300%偏高临界线、在全国主要城市中处于较高水平。值得注意的是，政府性基金收入下滑是债务率分母端走低的重要因素，叠加债务规模快速扩张，对债务率指标形成放大效应。</w:t>
      </w:r>
    </w:p>
    <w:p>
      <w:pPr>
        <w:spacing w:before="0" w:after="60" w:line="360" w:lineRule="auto"/>
        <w:ind w:firstLine="420"/>
      </w:pPr>
      <w:r>
        <w:rPr>
          <w:rFonts w:ascii="Times New Roman" w:hAnsi="Times New Roman" w:eastAsia="楷体"/>
          <w:b w:val="0"/>
          <w:color w:val="000000"/>
          <w:sz w:val="21"/>
        </w:rPr>
        <w:t>综合来看，宜昌市依托三峡区位与化工医药，经济成长性较好，区域信用环境总体可控。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