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襄阳市信用评级报告(区域部分)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襄阳作为湖北省下辖地级市，经济总量列湖北省第三位，人均经济实力居省内中游，汽车产业基础较强、区域中心地位稳固。</w:t>
      </w:r>
    </w:p>
    <w:p>
      <w:pPr>
        <w:spacing w:before="0" w:after="60" w:line="360" w:lineRule="auto"/>
        <w:ind w:firstLine="420"/>
      </w:pPr>
      <w:r>
        <w:rPr>
          <w:rFonts w:ascii="Times New Roman" w:hAnsi="Times New Roman" w:eastAsia="楷体"/>
          <w:b w:val="0"/>
          <w:color w:val="000000"/>
          <w:sz w:val="21"/>
        </w:rPr>
        <w:t>襄阳市为湖北省地级市，是鄂西北中心城市和汉江流域中心城市。2023、2024、2025年，襄阳市地区生产总值分别为5,844.76亿元、6,102.41亿元、6,113.85亿元，同比增长4.80%、5.86%、2.10%，由4.80%回落至2.10%、有所放缓。</w:t>
      </w:r>
    </w:p>
    <w:p>
      <w:pPr>
        <w:spacing w:before="0" w:after="60" w:line="360" w:lineRule="auto"/>
        <w:ind w:firstLine="420"/>
      </w:pPr>
      <w:r>
        <w:rPr>
          <w:rFonts w:ascii="Times New Roman" w:hAnsi="Times New Roman" w:eastAsia="楷体"/>
          <w:b w:val="0"/>
          <w:color w:val="000000"/>
          <w:sz w:val="21"/>
        </w:rPr>
        <w:t>产业结构方面，襄阳市以汽车及零部件、装备制造、新能源汽车、农产品加工为支柱，东风系汽车产业基础较强，是二汽配套重镇。</w:t>
      </w:r>
    </w:p>
    <w:p>
      <w:pPr>
        <w:spacing w:before="0" w:after="60" w:line="360" w:lineRule="auto"/>
        <w:ind w:firstLine="420"/>
      </w:pPr>
      <w:r>
        <w:rPr>
          <w:rFonts w:ascii="Times New Roman" w:hAnsi="Times New Roman" w:eastAsia="楷体"/>
          <w:b w:val="0"/>
          <w:color w:val="000000"/>
          <w:sz w:val="21"/>
        </w:rPr>
        <w:t>经济动能方面，2023、2024年襄阳市固定资产投资增速分别为5.80%、8.40%；进出口总额45.93亿美元。</w:t>
      </w:r>
    </w:p>
    <w:p>
      <w:pPr>
        <w:spacing w:before="80" w:after="40" w:line="360" w:lineRule="auto"/>
        <w:ind w:firstLine="0"/>
        <w:jc w:val="center"/>
      </w:pPr>
      <w:r>
        <w:rPr>
          <w:rFonts w:ascii="Times New Roman" w:hAnsi="Times New Roman" w:eastAsia="楷体"/>
          <w:b/>
          <w:color w:val="000000"/>
          <w:sz w:val="21"/>
        </w:rPr>
        <w:t>图表：2025年湖北省各地级市主要经济指标对比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武汉市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22,147.35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2.2:29.7:68.1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1,743.06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1386.19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宜昌市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6,464.42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10.8:39.5:49.7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327.05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390.06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襄阳市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6,113.85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303.72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荆州市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3,712.34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17.9:35.2:46.9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190.99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508.29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孝感市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3,398.86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209.31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黄冈市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3,303.59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17.5:32.3:50.2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575.00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十堰市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2,704.80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9:36.2:54.8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168.18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312.45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荆门市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2,602.26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145.31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253.43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黄石市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2,430.28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咸宁市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2,033.31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14.3:32.3:53.4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258.93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恩施土家族苗族自治州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1,741.97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17.9:22.7:59.4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335.23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随州市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1,502.81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12.8:38.4:48.8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75.28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198.83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鄂州市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1,416.02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7.9:41.4:50.7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107.14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106.88</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襄阳市2025年GDP总量6,113.85亿元、列全省第三位；一般公共预算收入303.72亿元、列全省第三位。整体来看，襄阳市在湖北省内的经济与财政地位较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襄阳市财政体量在湖北省位居前列，税收占比处于六成以上、财政质量中等偏上；但受房地产市场调整影响，政府性基金收入近年总体保持平稳；2025年末宽口径债务率746.26%、处于偏高水平，已显著高于公认的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襄阳市一般公共预算收入分别为265.56亿元、285.47亿元、303.72亿元，在湖北省内位居前列；其中税收收入分别为191.47亿元、192.55亿元、193.46亿元，税收占比维持在72.10%、67.45%、63.70%，处于六成以上、财政质量中等偏上。一般公共预算支出分别为704.98亿元、802.67亿元、758.31亿元，财政自给率37.67%、35.56%、40.05%，财政自给率偏低、刚性支出压力较大。</w:t>
      </w:r>
    </w:p>
    <w:p>
      <w:pPr>
        <w:spacing w:before="0" w:after="60" w:line="360" w:lineRule="auto"/>
        <w:ind w:firstLine="420"/>
      </w:pPr>
      <w:r>
        <w:rPr>
          <w:rFonts w:ascii="Times New Roman" w:hAnsi="Times New Roman" w:eastAsia="楷体"/>
          <w:b w:val="0"/>
          <w:color w:val="000000"/>
          <w:sz w:val="21"/>
        </w:rPr>
        <w:t>政府性基金收入方面，2023、2024、2025年襄阳市政府性基金收入分别为211.00亿元、232.11亿元、221.66亿元，近年总体保持平稳。</w:t>
      </w:r>
    </w:p>
    <w:p>
      <w:pPr>
        <w:spacing w:before="80" w:after="40" w:line="360" w:lineRule="auto"/>
        <w:ind w:firstLine="0"/>
        <w:jc w:val="center"/>
      </w:pPr>
      <w:r>
        <w:rPr>
          <w:rFonts w:ascii="Times New Roman" w:hAnsi="Times New Roman" w:eastAsia="楷体"/>
          <w:b/>
          <w:color w:val="000000"/>
          <w:sz w:val="21"/>
        </w:rPr>
        <w:t>图表：2023-2025年襄阳市财政收入情况(单位:亿元、%)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265.56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285.47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303.72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191.47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192.55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193.46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0.47%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704.98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802.67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758.31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211.00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232.11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-4.50%</w:t>
            </w:r>
          </w:p>
        </w:tc>
      </w:tr>
    </w:tbl>
    <w:p>
      <w:pPr>
        <w:spacing w:before="0" w:after="80" w:line="360" w:lineRule="auto"/>
        <w:ind w:firstLine="0"/>
      </w:pPr>
      <w:r>
        <w:rPr>
          <w:rFonts w:ascii="Times New Roman" w:hAnsi="Times New Roman" w:eastAsia="楷体"/>
          <w:b w:val="0"/>
          <w:color w:val="000000"/>
          <w:sz w:val="19"/>
        </w:rPr>
        <w:t>资料来源:襄阳市财政决算、企业预警通,风控信评部整理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襄阳市经营性用地成交价分别为156.37亿元、95.63亿元、171.37亿元、70.91亿元、41.63亿元，2025年较2021年下降73.38%；同期平均溢价率为3.69%、1.02%、0.12%、2.86%、1.56%，整体处于低位、反映市场化主体拿地意愿与未来房价预期偏弱；成交楼面均价由1,046元/㎡降至576元/㎡、累计下降44.93%。2026年1-4月，襄阳市经营性用地累计成交41宗、规划建面209.20万㎡、成交价8.05亿元，延续低位运行。</w:t>
      </w:r>
    </w:p>
    <w:p>
      <w:pPr>
        <w:spacing w:before="80" w:after="40" w:line="360" w:lineRule="auto"/>
        <w:ind w:firstLine="0"/>
        <w:jc w:val="center"/>
      </w:pPr>
      <w:r>
        <w:rPr>
          <w:rFonts w:ascii="Times New Roman" w:hAnsi="Times New Roman" w:eastAsia="楷体"/>
          <w:b/>
          <w:color w:val="000000"/>
          <w:sz w:val="21"/>
        </w:rPr>
        <w:t>图表:2021-2025年襄阳市土地出让情况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1,493.54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1,046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156.37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1,037.48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95.63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1,609.23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0.12%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171.37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814.68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870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70.91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722.50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41.63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209.20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8.05</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从房地产销售看，2021-2025年襄阳市商品住宅成交面积由306.60万㎡变动至213.53万㎡、累计下降30.4%；新房均价2025年为8,198元/㎡、较2023年高点(10,145元/㎡)累计下跌19.19%；2025年去化周期69.12个月。</w:t>
      </w:r>
    </w:p>
    <w:p>
      <w:pPr>
        <w:spacing w:before="0" w:after="60" w:line="360" w:lineRule="auto"/>
        <w:ind w:firstLine="420"/>
      </w:pPr>
      <w:r>
        <w:rPr>
          <w:rFonts w:ascii="Times New Roman" w:hAnsi="Times New Roman" w:eastAsia="楷体"/>
          <w:b w:val="0"/>
          <w:color w:val="000000"/>
          <w:sz w:val="21"/>
        </w:rPr>
        <w:t>政府债务方面，2023、2024、2025年末襄阳市地方政府债务余额分别为1,198.96亿元、1,421.48亿元、1,742.15亿元，两年累计增长45.31%，主要源于地方专项债加快发行及置换债集中落地；2025年末债务限额1,816.93亿元，债务余额控制在限额以内。城投有息债务方面，2025年末估算余额为2,202.48亿元，较2023年末增长5.21%。债务率指标看，2025年末襄阳市政府债务率329.59%、城投债务率416.68%、宽口径债务率746.26%，较2023年末抬升439.26个百分点，显著高于公认的300%偏高临界线、在全国主要城市中处于较高水平。</w:t>
      </w:r>
    </w:p>
    <w:p>
      <w:pPr>
        <w:spacing w:before="0" w:after="60" w:line="360" w:lineRule="auto"/>
        <w:ind w:firstLine="420"/>
      </w:pPr>
      <w:r>
        <w:rPr>
          <w:rFonts w:ascii="Times New Roman" w:hAnsi="Times New Roman" w:eastAsia="楷体"/>
          <w:b w:val="0"/>
          <w:color w:val="000000"/>
          <w:sz w:val="21"/>
        </w:rPr>
        <w:t>综合来看，襄阳市汽车产业支撑较强，区域信用环境总体可控。我们预计宽口径债务率短期内将维持高位，需重点关注后续化债进展、土地市场企稳情况以及融资平台合规整改对城投平台再融资能力的影响。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