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长沙市信用评级报告(区域部分)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长沙作为湖南省省会，经济总量在湖南省稳居第一，人均GDP约14.68万元、人均经济实力居全省前列，工程机械龙头集聚、消费与文创活跃、房价收入比相对较低。</w:t>
      </w:r>
    </w:p>
    <w:p>
      <w:pPr>
        <w:spacing w:before="0" w:after="60" w:line="360" w:lineRule="auto"/>
        <w:ind w:firstLine="420"/>
      </w:pPr>
      <w:r>
        <w:rPr>
          <w:rFonts w:ascii="Times New Roman" w:hAnsi="Times New Roman" w:eastAsia="楷体"/>
          <w:b w:val="0"/>
          <w:color w:val="000000"/>
          <w:sz w:val="21"/>
        </w:rPr>
        <w:t>长沙市为湖南省省会，是长江中游重要中心城市、“工程机械之都”和“媒体艺术之都”。2023、2024、2025年，长沙市地区生产总值分别为14,517.55亿元、15,268.78亿元、15,737.82亿元，同比增长4.90%、5.00%、4.00%，由4.90%回落至4.00%、有所放缓。截至2025年末，全市常住人口1072.14万人，人均GDP约14.68万元（按当年GDP与常住人口估算）。</w:t>
      </w:r>
    </w:p>
    <w:p>
      <w:pPr>
        <w:spacing w:before="0" w:after="60" w:line="360" w:lineRule="auto"/>
        <w:ind w:firstLine="420"/>
      </w:pPr>
      <w:r>
        <w:rPr>
          <w:rFonts w:ascii="Times New Roman" w:hAnsi="Times New Roman" w:eastAsia="楷体"/>
          <w:b w:val="0"/>
          <w:color w:val="000000"/>
          <w:sz w:val="21"/>
        </w:rPr>
        <w:t>产业结构方面，2025年长沙市三次产业结构为3.1:35:61.9，以工程机械、汽车、电子信息、文化创意、食品为支柱，聚集三一重工、中联重科、山河智能、铁建重工等龙头，工程机械产业集群全国领先，文娱传媒（芒果系）特色鲜明。</w:t>
      </w:r>
    </w:p>
    <w:p>
      <w:pPr>
        <w:spacing w:before="0" w:after="60" w:line="360" w:lineRule="auto"/>
        <w:ind w:firstLine="420"/>
      </w:pPr>
      <w:r>
        <w:rPr>
          <w:rFonts w:ascii="Times New Roman" w:hAnsi="Times New Roman" w:eastAsia="楷体"/>
          <w:b w:val="0"/>
          <w:color w:val="000000"/>
          <w:sz w:val="21"/>
        </w:rPr>
        <w:t>经济动能方面，2023、2024、2025年长沙市固定资产投资增速分别为-6.80%、2.30%、-19.30%，在房地产投资承压、部分大型项目接续不足的背景下有所走弱；2025年社会消费品零售总额5,738.93亿元，进出口总额402.55亿美元。</w:t>
      </w:r>
    </w:p>
    <w:p>
      <w:pPr>
        <w:spacing w:before="80" w:after="40" w:line="360" w:lineRule="auto"/>
        <w:ind w:firstLine="0"/>
        <w:jc w:val="center"/>
      </w:pPr>
      <w:r>
        <w:rPr>
          <w:rFonts w:ascii="Times New Roman" w:hAnsi="Times New Roman" w:eastAsia="楷体"/>
          <w:b/>
          <w:color w:val="000000"/>
          <w:sz w:val="21"/>
        </w:rPr>
        <w:t>图表：2025年湖南省各地级市主要经济指标对比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长沙市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15,737.82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3.1:35:61.9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1,296.87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1072.14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岳阳市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5,386.88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常德市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4,770.90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11.1:36.3:52.6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衡阳市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4,689.55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10.5:31.1:58.4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636.36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株洲市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4,063.50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7.3:46:46.7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382.04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郴州市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3,502.08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10:38.5:51.5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455.74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湘潭市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3,077.23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6.3:45.3:48.4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267.02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邵阳市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2,883.50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16.2:32.6:51.2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621.70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2,829.58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16.8:32.3:50.9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494.86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益阳市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2,381.46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16:43.1:40.9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369.19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娄底市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2,237.30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10.9:37.6:51.5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368.28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怀化市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2,191.55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13.8:31.5:54.7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438.39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湘西土家族苗族自治州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889.50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14.7:20.6:64.7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236.06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张家界市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667.83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14.2:11.8:74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146.33</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长沙市2025年GDP总量15,737.82亿元、列全省第一位，约为省内第二的岳阳市（5,386.88亿元）的2.9倍，“一城独大”格局突出；一般公共预算收入1,296.87亿元、稳居全省第一。整体来看，长沙市在湖南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长沙市财政体量在湖南省稳居第一，税收占比数据暂缺；但受房地产市场调整影响，政府性基金收入较2023年累计缩水超三成、土地财政贡献度显著弱化；2025年末宽口径债务率671.50%、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长沙市一般公共预算收入分别为1,227.07亿元、1,264.54亿元、1,296.87亿元，在湖南省内稳居第一；其中税收收入分别为821.03亿元、786.97亿元、—亿元，税收占比维持在66.91%、62.23%、—，数据暂缺。一般公共预算支出分别为1,626.83亿元、1,663.94亿元、1,625.77亿元，财政自给率75.43%、76.00%、79.77%，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长沙市政府性基金收入分别为902.83亿元、576.80亿元、528.70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图表：2023-2025年长沙市财政收入情况(单位:亿元、%)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1,227.07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1,264.54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1,296.87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821.03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786.97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1,663.94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1,625.77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902.83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-8.34%</w:t>
            </w:r>
          </w:p>
        </w:tc>
      </w:tr>
    </w:tbl>
    <w:p>
      <w:pPr>
        <w:spacing w:before="0" w:after="80" w:line="360" w:lineRule="auto"/>
        <w:ind w:firstLine="0"/>
      </w:pPr>
      <w:r>
        <w:rPr>
          <w:rFonts w:ascii="Times New Roman" w:hAnsi="Times New Roman" w:eastAsia="楷体"/>
          <w:b w:val="0"/>
          <w:color w:val="000000"/>
          <w:sz w:val="19"/>
        </w:rPr>
        <w:t>资料来源:长沙市财政决算、企业预警通,风控信评部整理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长沙市经营性用地成交价分别为1,166.64亿元、860.64亿元、741.32亿元、546.59亿元、360.77亿元，2025年较2021年下降69.08%；同期平均溢价率为4.03%、1.22%、1.47%、2.34%、2.62%，整体处于低位、反映市场化主体拿地意愿与未来房价预期偏弱；成交楼面均价由2,066元/㎡降至1,676元/㎡、累计下降18.88%。2026年1-4月，长沙市经营性用地累计成交31宗、规划建面225.79万㎡、成交价50.81亿元，延续低位运行。</w:t>
      </w:r>
    </w:p>
    <w:p>
      <w:pPr>
        <w:spacing w:before="80" w:after="40" w:line="360" w:lineRule="auto"/>
        <w:ind w:firstLine="0"/>
        <w:jc w:val="center"/>
      </w:pPr>
      <w:r>
        <w:rPr>
          <w:rFonts w:ascii="Times New Roman" w:hAnsi="Times New Roman" w:eastAsia="楷体"/>
          <w:b/>
          <w:color w:val="000000"/>
          <w:sz w:val="21"/>
        </w:rPr>
        <w:t>图表:2021-2025年长沙市土地出让情况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5,647.35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1,166.64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4,294.91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860.64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4,133.39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741.32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2,963.16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546.59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2,150.91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360.77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225.79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50.81</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长沙市商品住宅成交面积由1,353.85万㎡变动至323.51万㎡、累计下降76.1%；新房均价2025年为13,736元/㎡、较2023年高点(14,463元/㎡)累计下跌5.03%；2025年去化周期32.04个月。二手房市场仍处于深度调整，据中指冰山指数(最低挂牌价口径)，长沙二手房挂牌价较2018年7月高点累计下跌31.68%，2023年累计跌幅-4.52%、2024年累计跌幅-9.91%、2025年累计跌幅-13.12%。</w:t>
      </w:r>
    </w:p>
    <w:p>
      <w:pPr>
        <w:spacing w:before="0" w:after="60" w:line="360" w:lineRule="auto"/>
        <w:ind w:firstLine="420"/>
      </w:pPr>
      <w:r>
        <w:rPr>
          <w:rFonts w:ascii="Times New Roman" w:hAnsi="Times New Roman" w:eastAsia="楷体"/>
          <w:b w:val="0"/>
          <w:color w:val="000000"/>
          <w:sz w:val="21"/>
        </w:rPr>
        <w:t>政府债务方面，2023、2024、2025年末长沙市地方政府债务余额分别为3,050.13亿元、3,211.59亿元、3,671.38亿元，两年累计增长20.37%，主要源于地方专项债加快发行及置换债集中落地；2025年末债务限额3,706.82亿元，债务余额控制在限额以内。城投有息债务方面，2025年末估算余额为8,720.59亿元、规模在全国地级市中位居前列，较2023年末增长13.18%。债务率指标看，2025年末长沙市政府债务率198.94%、城投债务率472.55%、宽口径债务率671.50%，较2023年末抬升169.72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长沙市产业龙头突出、宜居宜业，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