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ind w:firstLine="0"/>
        <w:jc w:val="center"/>
      </w:pPr>
      <w:r>
        <w:rPr>
          <w:rFonts w:ascii="Times New Roman" w:hAnsi="Times New Roman" w:eastAsia="楷体"/>
          <w:b/>
          <w:color w:val="000000"/>
          <w:sz w:val="28"/>
        </w:rPr>
        <w:t>福州市信用评级报告(区域部分)</w:t>
      </w:r>
    </w:p>
    <w:p>
      <w:pPr>
        <w:spacing w:before="200" w:after="100" w:line="360" w:lineRule="auto"/>
        <w:ind w:firstLine="0"/>
      </w:pPr>
      <w:r>
        <w:rPr>
          <w:rFonts w:ascii="Times New Roman" w:hAnsi="Times New Roman" w:eastAsia="楷体"/>
          <w:b/>
          <w:color w:val="000000"/>
          <w:sz w:val="21"/>
        </w:rPr>
        <w:t>一、区域经济分析</w:t>
      </w:r>
    </w:p>
    <w:p>
      <w:pPr>
        <w:spacing w:before="120" w:after="60" w:line="360" w:lineRule="auto"/>
        <w:ind w:firstLine="0"/>
      </w:pPr>
      <w:r>
        <w:rPr>
          <w:rFonts w:ascii="Times New Roman" w:hAnsi="Times New Roman" w:eastAsia="楷体"/>
          <w:b/>
          <w:color w:val="000000"/>
          <w:sz w:val="21"/>
        </w:rPr>
        <w:t>■ 福州作为福建省省会，经济总量在福建省稳居第一，人均GDP约17.60万元、人均经济实力居全省前列，省会地位与民营经济并进、增长较为稳健。</w:t>
      </w:r>
    </w:p>
    <w:p>
      <w:pPr>
        <w:spacing w:before="0" w:after="60" w:line="360" w:lineRule="auto"/>
        <w:ind w:firstLine="420"/>
      </w:pPr>
      <w:r>
        <w:rPr>
          <w:rFonts w:ascii="Times New Roman" w:hAnsi="Times New Roman" w:eastAsia="楷体"/>
          <w:b w:val="0"/>
          <w:color w:val="000000"/>
          <w:sz w:val="21"/>
        </w:rPr>
        <w:t>福州市为福建省省会，是海峡西岸经济区中心城市和21世纪海上丝绸之路重要节点。2023、2024、2025年，福州市地区生产总值分别为13,426.89亿元、14,236.76亿元、15,112.32亿元，同比增长5.40%、6.10%、5.60%，维持在5.60%左右、总体平稳。截至2025年末，全市常住人口852.10万人，人均GDP约17.60万元。</w:t>
      </w:r>
    </w:p>
    <w:p>
      <w:pPr>
        <w:spacing w:before="0" w:after="60" w:line="360" w:lineRule="auto"/>
        <w:ind w:firstLine="420"/>
      </w:pPr>
      <w:r>
        <w:rPr>
          <w:rFonts w:ascii="Times New Roman" w:hAnsi="Times New Roman" w:eastAsia="楷体"/>
          <w:b w:val="0"/>
          <w:color w:val="000000"/>
          <w:sz w:val="21"/>
        </w:rPr>
        <w:t>产业结构方面，2025年福州市三次产业结构为5:36:59，以电子信息、纺织化纤、轻工食品、冶金建材、新能源为支柱，聚集福耀玻璃、恒申、东南汽车等企业，民营经济与临港工业并重。</w:t>
      </w:r>
    </w:p>
    <w:p>
      <w:pPr>
        <w:spacing w:before="0" w:after="60" w:line="360" w:lineRule="auto"/>
        <w:ind w:firstLine="420"/>
      </w:pPr>
      <w:r>
        <w:rPr>
          <w:rFonts w:ascii="Times New Roman" w:hAnsi="Times New Roman" w:eastAsia="楷体"/>
          <w:b w:val="0"/>
          <w:color w:val="000000"/>
          <w:sz w:val="21"/>
        </w:rPr>
        <w:t>经济动能方面，2023、2024、2025年福州市固定资产投资增速分别为3.20%、6.60%、0.00%；2025年社会消费品零售总额5,969.10亿元，进出口总额373.00亿美元。</w:t>
      </w:r>
    </w:p>
    <w:p>
      <w:pPr>
        <w:spacing w:before="80" w:after="40" w:line="360" w:lineRule="auto"/>
        <w:ind w:firstLine="0"/>
        <w:jc w:val="center"/>
      </w:pPr>
      <w:r>
        <w:rPr>
          <w:rFonts w:ascii="Times New Roman" w:hAnsi="Times New Roman" w:eastAsia="楷体"/>
          <w:b/>
          <w:color w:val="000000"/>
          <w:sz w:val="21"/>
        </w:rPr>
        <w:t>图表：2025年福建省各地级市主要经济指标对比</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地级市</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人均GDP(万元)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GDP增速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三次产业结构</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一般预算(亿元)</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常住人口(万人)</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福州市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15,112.32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5:36:59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750.55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852.10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泉州市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13,778.34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2:50.5:47.5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592.07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厦门市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8,980.37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16.74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0.3:37.8:61.9</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961.08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536.50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漳州市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6,154.12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9.9:43.8:46.3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285.45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508.40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宁德市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4,251.72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13.41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10.1:54.6:35.2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271.45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317.30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莆田市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3,579.52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11.23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4.4:45:50.6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170.60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318.40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龙岩市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3,578.55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13.36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9:41.3:49.7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181.37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266.80</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三明市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2,511.98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-4.30%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 xml:space="preserve"> </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120.12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南平市</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2,189.73</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8.38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18.4:32.4:49.2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119.21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260.40</w:t>
            </w:r>
          </w:p>
        </w:tc>
      </w:tr>
    </w:tbl>
    <w:p>
      <w:pPr>
        <w:spacing w:before="0" w:after="80" w:line="360" w:lineRule="auto"/>
        <w:ind w:firstLine="0"/>
      </w:pPr>
      <w:r>
        <w:rPr>
          <w:rFonts w:ascii="Times New Roman" w:hAnsi="Times New Roman" w:eastAsia="楷体"/>
          <w:b w:val="0"/>
          <w:color w:val="000000"/>
          <w:sz w:val="19"/>
        </w:rPr>
        <w:t>资料来源：各市统计公报、企业预警通，风控信评部整理。注：部分城市人均GDP系按当年GDP与常住人口估算。</w:t>
      </w:r>
    </w:p>
    <w:p>
      <w:pPr>
        <w:spacing w:before="0" w:after="60" w:line="360" w:lineRule="auto"/>
        <w:ind w:firstLine="420"/>
      </w:pPr>
      <w:r>
        <w:rPr>
          <w:rFonts w:ascii="Times New Roman" w:hAnsi="Times New Roman" w:eastAsia="楷体"/>
          <w:b w:val="0"/>
          <w:color w:val="000000"/>
          <w:sz w:val="21"/>
        </w:rPr>
        <w:t>省内对比看，福州市2025年GDP总量15,112.32亿元、列全省第一位，约为省内第二的泉州市（13,778.34亿元）的1.1倍；一般公共预算收入750.55亿元、列全省第二位。整体来看，福州市在福建省内的经济与财政地位极为重要，但放到同类城市横向看，产业结构升级与新旧动能转换仍是中长期需要关注的核心课题。</w:t>
      </w:r>
    </w:p>
    <w:p>
      <w:pPr>
        <w:spacing w:before="120" w:after="60" w:line="360" w:lineRule="auto"/>
        <w:ind w:firstLine="0"/>
      </w:pPr>
      <w:r>
        <w:rPr>
          <w:rFonts w:ascii="Times New Roman" w:hAnsi="Times New Roman" w:eastAsia="楷体"/>
          <w:b/>
          <w:color w:val="000000"/>
          <w:sz w:val="21"/>
        </w:rPr>
        <w:t>■ 福州市财政体量在福建省位居前列，税收占比处于六成以上、财政质量中等偏上；但受房地产市场调整影响，政府性基金收入近年总体保持平稳；2025年末宽口径债务率429.09%、处于偏高水平，已显著高于公认的 300% 偏高临界线，后续偿债压力值得关注。</w:t>
      </w:r>
    </w:p>
    <w:p>
      <w:pPr>
        <w:spacing w:before="0" w:after="60" w:line="360" w:lineRule="auto"/>
        <w:ind w:firstLine="420"/>
      </w:pPr>
      <w:r>
        <w:rPr>
          <w:rFonts w:ascii="Times New Roman" w:hAnsi="Times New Roman" w:eastAsia="楷体"/>
          <w:b w:val="0"/>
          <w:color w:val="000000"/>
          <w:sz w:val="21"/>
        </w:rPr>
        <w:t>财政收入方面，2023、2024、2025年福州市一般公共预算收入分别为754.08亿元、750.50亿元、750.55亿元，在福建省内位居前列；其中税收收入分别为486.51亿元、474.31亿元、462.97亿元，税收占比维持在64.52%、63.20%、61.68%，处于六成以上、财政质量中等偏上。一般公共预算支出分别为1,004.90亿元、1,025.48亿元、1,038.57亿元，财政自给率75.04%、73.18%、72.27%，财政自给率处于中等水平。</w:t>
      </w:r>
    </w:p>
    <w:p>
      <w:pPr>
        <w:spacing w:before="0" w:after="60" w:line="360" w:lineRule="auto"/>
        <w:ind w:firstLine="420"/>
      </w:pPr>
      <w:r>
        <w:rPr>
          <w:rFonts w:ascii="Times New Roman" w:hAnsi="Times New Roman" w:eastAsia="楷体"/>
          <w:b w:val="0"/>
          <w:color w:val="000000"/>
          <w:sz w:val="21"/>
        </w:rPr>
        <w:t>政府性基金收入方面，2023、2024、2025年福州市政府性基金收入分别为504.11亿元、612.28亿元、502.60亿元，近年总体保持平稳。</w:t>
      </w:r>
    </w:p>
    <w:p>
      <w:pPr>
        <w:spacing w:before="80" w:after="40" w:line="360" w:lineRule="auto"/>
        <w:ind w:firstLine="0"/>
        <w:jc w:val="center"/>
      </w:pPr>
      <w:r>
        <w:rPr>
          <w:rFonts w:ascii="Times New Roman" w:hAnsi="Times New Roman" w:eastAsia="楷体"/>
          <w:b/>
          <w:color w:val="000000"/>
          <w:sz w:val="21"/>
        </w:rPr>
        <w:t>图表：2023-2025年福州市财政收入情况(单位:亿元、%)</w:t>
      </w:r>
    </w:p>
    <w:tbl>
      <w:tblPr>
        <w:tblW w:type="auto" w:w="0"/>
        <w:tblLayout w:type="autofit"/>
        <w:tblLook w:firstColumn="1" w:firstRow="1" w:lastColumn="0" w:lastRow="0" w:noHBand="0" w:noVBand="1" w:val="04A0"/>
      </w:tblPr>
      <w:tblGrid>
        <w:gridCol w:w="1344"/>
        <w:gridCol w:w="1344"/>
        <w:gridCol w:w="1344"/>
        <w:gridCol w:w="1344"/>
        <w:gridCol w:w="1344"/>
        <w:gridCol w:w="1344"/>
        <w:gridCol w:w="1344"/>
      </w:tblGrid>
      <w:tr>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项目</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2023年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2024年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2025年</w:t>
            </w:r>
          </w:p>
        </w:tc>
        <w:tc>
          <w:tcPr>
            <w:tcW w:type="dxa" w:w="1344"/>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增速</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754.08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8.00%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750.50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-0.47%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750.55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0.01%</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 xml:space="preserve">　其中:税收收入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486.51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474.31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462.97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-2.39%</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税收占比</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64.52%</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63.20%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61.68%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一般公共预算支出</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1,004.90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1,025.48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2.05%</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1,038.57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1.28%</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财政自给率</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75.04%</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73.18%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72.27%</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r>
      <w:tr>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政府性基金收入</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504.11</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612.28</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21.46%</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502.60</w:t>
            </w:r>
          </w:p>
        </w:tc>
        <w:tc>
          <w:tcPr>
            <w:tcW w:type="dxa" w:w="1344"/>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-17.91%</w:t>
            </w:r>
          </w:p>
        </w:tc>
      </w:tr>
    </w:tbl>
    <w:p>
      <w:pPr>
        <w:spacing w:before="0" w:after="80" w:line="360" w:lineRule="auto"/>
        <w:ind w:firstLine="0"/>
      </w:pPr>
      <w:r>
        <w:rPr>
          <w:rFonts w:ascii="Times New Roman" w:hAnsi="Times New Roman" w:eastAsia="楷体"/>
          <w:b w:val="0"/>
          <w:color w:val="000000"/>
          <w:sz w:val="19"/>
        </w:rPr>
        <w:t>资料来源:福州市财政决算、企业预警通,风控信评部整理</w:t>
      </w:r>
    </w:p>
    <w:p>
      <w:pPr>
        <w:spacing w:before="0" w:after="60" w:line="360" w:lineRule="auto"/>
        <w:ind w:firstLine="420"/>
      </w:pPr>
      <w:r>
        <w:rPr>
          <w:rFonts w:ascii="Times New Roman" w:hAnsi="Times New Roman" w:eastAsia="楷体"/>
          <w:b w:val="0"/>
          <w:color w:val="000000"/>
          <w:sz w:val="21"/>
        </w:rPr>
        <w:t>土地市场方面，2021、2022、2023、2024、2025年福州市经营性用地成交价分别为716.53亿元、576.53亿元、498.16亿元、537.84亿元、406.23亿元，2025年较2021年下降43.31%；同期平均溢价率为14.59%、2.26%、6.33%、3.56%、2.19%，整体处于低位、反映市场化主体拿地意愿与未来房价预期偏弱；成交楼面均价由3,212元/㎡降至2,806元/㎡、累计下降12.64%。2026年1-4月，福州市经营性用地累计成交63宗、规划建面384.53万㎡、成交价87.91亿元，延续低位运行。</w:t>
      </w:r>
    </w:p>
    <w:p>
      <w:pPr>
        <w:spacing w:before="80" w:after="40" w:line="360" w:lineRule="auto"/>
        <w:ind w:firstLine="0"/>
        <w:jc w:val="center"/>
      </w:pPr>
      <w:r>
        <w:rPr>
          <w:rFonts w:ascii="Times New Roman" w:hAnsi="Times New Roman" w:eastAsia="楷体"/>
          <w:b/>
          <w:color w:val="000000"/>
          <w:sz w:val="21"/>
        </w:rPr>
        <w:t>图表:2021-2025年福州市土地出让情况</w:t>
      </w:r>
    </w:p>
    <w:tbl>
      <w:tblPr>
        <w:tblW w:type="auto" w:w="0"/>
        <w:tblLayout w:type="autofit"/>
        <w:tblLook w:firstColumn="1" w:firstRow="1" w:lastColumn="0" w:lastRow="0" w:noHBand="0" w:noVBand="1" w:val="04A0"/>
      </w:tblPr>
      <w:tblGrid>
        <w:gridCol w:w="1568"/>
        <w:gridCol w:w="1568"/>
        <w:gridCol w:w="1568"/>
        <w:gridCol w:w="1568"/>
        <w:gridCol w:w="1568"/>
        <w:gridCol w:w="1568"/>
      </w:tblGrid>
      <w:tr>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年度</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土地宗数</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规划建面(万㎡)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成交楼面均价(元/㎡)</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平均溢价率</w:t>
            </w:r>
          </w:p>
        </w:tc>
        <w:tc>
          <w:tcPr>
            <w:tcW w:type="dxa" w:w="1568"/>
            <w:vAlign w:val="center"/>
            <w:shd w:val="clear" w:color="auto" w:fill="F1A983"/>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color w:val="000000"/>
                <w:sz w:val="18"/>
              </w:rPr>
              <w:t>成交价(亿元)</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2021</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2,230.56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3,212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14.59%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716.53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240</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2,223.86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2,592</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2.26%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576.53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1,812.55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2,747</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498.16</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2024</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299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1,861.38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2,889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3.56%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537.84</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235</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1,447.68</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2,806</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2.19%</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406.23</w:t>
            </w:r>
          </w:p>
        </w:tc>
      </w:tr>
      <w:tr>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left"/>
            </w:pPr>
            <w:r/>
            <w:r>
              <w:rPr>
                <w:rFonts w:ascii="Times New Roman" w:hAnsi="Times New Roman" w:eastAsia="楷体"/>
                <w:b w:val="0"/>
                <w:color w:val="000000"/>
                <w:sz w:val="18"/>
              </w:rPr>
              <w:t>2026年1-4月</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63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384.53</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w:t>
            </w:r>
          </w:p>
        </w:tc>
        <w:tc>
          <w:tcPr>
            <w:tcW w:type="dxa" w:w="1568"/>
            <w:vAlign w:val="center"/>
            <w:tcBorders>
              <w:top w:val="single" w:sz="4" w:color="A6A6A6"/>
              <w:left w:val="single" w:sz="4" w:color="A6A6A6"/>
              <w:bottom w:val="single" w:sz="4" w:color="A6A6A6"/>
              <w:right w:val="single" w:sz="4" w:color="A6A6A6"/>
            </w:tcBorders>
          </w:tcPr>
          <w:p>
            <w:pPr>
              <w:spacing w:before="0" w:after="0" w:line="276" w:lineRule="auto"/>
              <w:ind w:firstLine="0"/>
              <w:jc w:val="center"/>
            </w:pPr>
            <w:r/>
            <w:r>
              <w:rPr>
                <w:rFonts w:ascii="Times New Roman" w:hAnsi="Times New Roman" w:eastAsia="楷体"/>
                <w:b w:val="0"/>
                <w:color w:val="000000"/>
                <w:sz w:val="18"/>
              </w:rPr>
              <w:t>87.91</w:t>
            </w:r>
          </w:p>
        </w:tc>
      </w:tr>
    </w:tbl>
    <w:p>
      <w:pPr>
        <w:spacing w:before="0" w:after="80" w:line="360" w:lineRule="auto"/>
        <w:ind w:firstLine="0"/>
      </w:pPr>
      <w:r>
        <w:rPr>
          <w:rFonts w:ascii="Times New Roman" w:hAnsi="Times New Roman" w:eastAsia="楷体"/>
          <w:b w:val="0"/>
          <w:color w:val="000000"/>
          <w:sz w:val="19"/>
        </w:rPr>
        <w:t>资料来源:中指数据库,风控信评部整理</w:t>
      </w:r>
    </w:p>
    <w:p>
      <w:pPr>
        <w:spacing w:before="0" w:after="60" w:line="360" w:lineRule="auto"/>
        <w:ind w:firstLine="420"/>
      </w:pPr>
      <w:r>
        <w:rPr>
          <w:rFonts w:ascii="Times New Roman" w:hAnsi="Times New Roman" w:eastAsia="楷体"/>
          <w:b w:val="0"/>
          <w:color w:val="000000"/>
          <w:sz w:val="21"/>
        </w:rPr>
        <w:t>从房地产销售看，2021-2025年福州市商品住宅成交面积由883.03万㎡变动至445.19万㎡、累计下降49.6%；新房均价2025年为15,919元/㎡、较2021年高点(18,631元/㎡)累计下跌14.56%；2025年去化周期23.36个月。二手房市场仍处于深度调整，据中指冰山指数(最低挂牌价口径)，福州二手房挂牌价较2021年8月高点累计下跌38.35%，2023年累计跌幅-8.19%、2024年累计跌幅-12.70%、2025年累计跌幅-13.38%。</w:t>
      </w:r>
    </w:p>
    <w:p>
      <w:pPr>
        <w:spacing w:before="0" w:after="60" w:line="360" w:lineRule="auto"/>
        <w:ind w:firstLine="420"/>
      </w:pPr>
      <w:r>
        <w:rPr>
          <w:rFonts w:ascii="Times New Roman" w:hAnsi="Times New Roman" w:eastAsia="楷体"/>
          <w:b w:val="0"/>
          <w:color w:val="000000"/>
          <w:sz w:val="21"/>
        </w:rPr>
        <w:t>政府债务方面，2023、2024、2025年末福州市地方政府债务余额分别为2,196.99亿元、2,760.74亿元、3,349.60亿元，两年累计增长52.46%，主要源于地方专项债加快发行及置换债集中落地；2025年末债务限额3,414.87亿元，债务余额控制在限额以内。城投有息债务方面，2025年末估算余额为4,007.68亿元，较2023年末增长26.27%。债务率指标看，2025年末福州市政府债务率195.36%、城投债务率233.74%、宽口径债务率429.09%，较2023年末抬升160.44个百分点，显著高于公认的300%偏高临界线、在全国主要城市中处于较高水平。</w:t>
      </w:r>
    </w:p>
    <w:p>
      <w:pPr>
        <w:spacing w:before="0" w:after="60" w:line="360" w:lineRule="auto"/>
        <w:ind w:firstLine="420"/>
      </w:pPr>
      <w:r>
        <w:rPr>
          <w:rFonts w:ascii="Times New Roman" w:hAnsi="Times New Roman" w:eastAsia="楷体"/>
          <w:b w:val="0"/>
          <w:color w:val="000000"/>
          <w:sz w:val="21"/>
        </w:rPr>
        <w:t>综合来看，福州市作为省会、产业多元，区域信用环境较为稳健。我们预计宽口径债务率短期内将维持高位，需重点关注后续化债进展、土地市场企稳情况以及融资平台合规整改对城投平台再融资能力的影响。</w:t>
      </w:r>
    </w:p>
    <w:sectPr w:rsidR="00FC693F" w:rsidRPr="0006063C" w:rsidSect="00034616">
      <w:pgSz w:w="12240" w:h="15840"/>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楷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