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DATA QUALITY ASSESSMENT REPORT</w:t>
      </w:r>
    </w:p>
    <w:p>
      <w:pPr>
        <w:jc w:val="center"/>
      </w:pPr>
      <w:r>
        <w:rPr>
          <w:b/>
          <w:color w:val="1F4E78"/>
          <w:sz w:val="30"/>
        </w:rPr>
        <w:t>Group 3a — School Results Analysis</w:t>
      </w:r>
    </w:p>
    <w:p>
      <w:pPr>
        <w:jc w:val="center"/>
      </w:pPr>
      <w:r>
        <w:rPr>
          <w:sz w:val="24"/>
        </w:rPr>
        <w:t>Week 2: SQL Data Profiling</w:t>
      </w:r>
    </w:p>
    <w:p/>
    <w:tbl>
      <w:tblPr>
        <w:tblW w:type="auto" w:w="0"/>
        <w:jc w:val="center"/>
        <w:tblLook w:firstColumn="1" w:firstRow="1" w:lastColumn="0" w:lastRow="0" w:noHBand="0" w:noVBand="1" w:val="04A0"/>
      </w:tblPr>
      <w:tblGrid>
        <w:gridCol w:w="10224"/>
      </w:tblGrid>
      <w:tr>
        <w:trPr>
          <w:cantSplit/>
        </w:trPr>
        <w:tc>
          <w:tcPr>
            <w:tcW w:type="dxa" w:w="10224"/>
            <w:shd w:fill="EAF2F8"/>
            <w:tcBorders>
              <w:left w:val="single" w:sz="18" w:color="1F4E78"/>
            </w:tcBorders>
          </w:tcPr>
          <w:p>
            <w:r>
              <w:rPr>
                <w:b/>
                <w:color w:val="1F4E78"/>
                <w:sz w:val="22"/>
              </w:rPr>
              <w:t>Project Question</w:t>
              <w:br/>
            </w:r>
            <w:r>
              <w:rPr>
                <w:sz w:val="20"/>
              </w:rPr>
              <w:t>Which subjects show the weakest results, and how does attendance relate to score across terms?</w:t>
            </w:r>
          </w:p>
        </w:tc>
      </w:tr>
    </w:tbl>
    <w:p/>
    <w:p>
      <w:pPr>
        <w:pStyle w:val="Heading1"/>
      </w:pPr>
      <w:r>
        <w:t>1. Executive Summary</w:t>
      </w:r>
    </w:p>
    <w:p>
      <w:pPr>
        <w:jc w:val="both"/>
      </w:pPr>
      <w:r>
        <w:t>The Week 2 profiling exercise assessed the reliability of the raw school dataset before cleaning, modelling, and dashboard development. The review confirmed several data-quality issues that could materially affect analysis if left unresolved.</w:t>
      </w:r>
    </w:p>
    <w:tbl>
      <w:tblPr>
        <w:tblStyle w:val="TableGrid"/>
        <w:tblW w:type="auto" w:w="0"/>
        <w:jc w:val="center"/>
        <w:tblLook w:firstColumn="1" w:firstRow="1" w:lastColumn="0" w:lastRow="0" w:noHBand="0" w:noVBand="1" w:val="04A0"/>
      </w:tblPr>
      <w:tblGrid>
        <w:gridCol w:w="5112"/>
        <w:gridCol w:w="5112"/>
      </w:tblGrid>
      <w:tr>
        <w:trPr>
          <w:cantSplit/>
        </w:trPr>
        <w:tc>
          <w:tcPr>
            <w:tcW w:type="dxa" w:w="3888"/>
            <w:vAlign w:val="center"/>
            <w:shd w:fill="1F4E78"/>
          </w:tcPr>
          <w:p>
            <w:r/>
            <w:r>
              <w:rPr>
                <w:rFonts w:ascii="Aptos" w:hAnsi="Aptos"/>
                <w:b/>
                <w:color w:val="FFFFFF"/>
                <w:sz w:val="19"/>
              </w:rPr>
              <w:t>Key Issue</w:t>
            </w:r>
          </w:p>
        </w:tc>
        <w:tc>
          <w:tcPr>
            <w:tcW w:type="dxa" w:w="5328"/>
            <w:vAlign w:val="center"/>
            <w:shd w:fill="1F4E78"/>
          </w:tcPr>
          <w:p>
            <w:r/>
            <w:r>
              <w:rPr>
                <w:rFonts w:ascii="Aptos" w:hAnsi="Aptos"/>
                <w:b/>
                <w:color w:val="FFFFFF"/>
                <w:sz w:val="19"/>
              </w:rPr>
              <w:t>Finding</w:t>
            </w:r>
          </w:p>
        </w:tc>
      </w:tr>
      <w:tr>
        <w:trPr>
          <w:cantSplit/>
        </w:trPr>
        <w:tc>
          <w:tcPr>
            <w:tcW w:type="dxa" w:w="3888"/>
            <w:vAlign w:val="center"/>
          </w:tcPr>
          <w:p>
            <w:r/>
            <w:r>
              <w:rPr>
                <w:rFonts w:ascii="Aptos" w:hAnsi="Aptos"/>
                <w:b w:val="0"/>
                <w:sz w:val="18"/>
              </w:rPr>
              <w:t>Missing scores</w:t>
            </w:r>
          </w:p>
        </w:tc>
        <w:tc>
          <w:tcPr>
            <w:tcW w:type="dxa" w:w="5328"/>
            <w:vAlign w:val="center"/>
          </w:tcPr>
          <w:p>
            <w:r/>
            <w:r>
              <w:rPr>
                <w:rFonts w:ascii="Aptos" w:hAnsi="Aptos"/>
                <w:b w:val="0"/>
                <w:sz w:val="18"/>
              </w:rPr>
              <w:t>1,507 rows</w:t>
            </w:r>
          </w:p>
        </w:tc>
      </w:tr>
      <w:tr>
        <w:trPr>
          <w:cantSplit/>
        </w:trPr>
        <w:tc>
          <w:tcPr>
            <w:tcW w:type="dxa" w:w="3888"/>
            <w:vAlign w:val="center"/>
            <w:shd w:fill="F5F8FC"/>
          </w:tcPr>
          <w:p>
            <w:r/>
            <w:r>
              <w:rPr>
                <w:rFonts w:ascii="Aptos" w:hAnsi="Aptos"/>
                <w:b w:val="0"/>
                <w:sz w:val="18"/>
              </w:rPr>
              <w:t>Invalid scores</w:t>
            </w:r>
          </w:p>
        </w:tc>
        <w:tc>
          <w:tcPr>
            <w:tcW w:type="dxa" w:w="5328"/>
            <w:vAlign w:val="center"/>
            <w:shd w:fill="F5F8FC"/>
          </w:tcPr>
          <w:p>
            <w:r/>
            <w:r>
              <w:rPr>
                <w:rFonts w:ascii="Aptos" w:hAnsi="Aptos"/>
                <w:b w:val="0"/>
                <w:sz w:val="18"/>
              </w:rPr>
              <w:t>55 rows outside 0–100</w:t>
            </w:r>
          </w:p>
        </w:tc>
      </w:tr>
      <w:tr>
        <w:trPr>
          <w:cantSplit/>
        </w:trPr>
        <w:tc>
          <w:tcPr>
            <w:tcW w:type="dxa" w:w="3888"/>
            <w:vAlign w:val="center"/>
          </w:tcPr>
          <w:p>
            <w:r/>
            <w:r>
              <w:rPr>
                <w:rFonts w:ascii="Aptos" w:hAnsi="Aptos"/>
                <w:b w:val="0"/>
                <w:sz w:val="18"/>
              </w:rPr>
              <w:t>Duplicate results</w:t>
            </w:r>
          </w:p>
        </w:tc>
        <w:tc>
          <w:tcPr>
            <w:tcW w:type="dxa" w:w="5328"/>
            <w:vAlign w:val="center"/>
          </w:tcPr>
          <w:p>
            <w:r/>
            <w:r>
              <w:rPr>
                <w:rFonts w:ascii="Aptos" w:hAnsi="Aptos"/>
                <w:b w:val="0"/>
                <w:sz w:val="18"/>
              </w:rPr>
              <w:t>120 extra rows</w:t>
            </w:r>
          </w:p>
        </w:tc>
      </w:tr>
      <w:tr>
        <w:trPr>
          <w:cantSplit/>
        </w:trPr>
        <w:tc>
          <w:tcPr>
            <w:tcW w:type="dxa" w:w="3888"/>
            <w:vAlign w:val="center"/>
            <w:shd w:fill="F5F8FC"/>
          </w:tcPr>
          <w:p>
            <w:r/>
            <w:r>
              <w:rPr>
                <w:rFonts w:ascii="Aptos" w:hAnsi="Aptos"/>
                <w:b w:val="0"/>
                <w:sz w:val="18"/>
              </w:rPr>
              <w:t>Orphan student references</w:t>
            </w:r>
          </w:p>
        </w:tc>
        <w:tc>
          <w:tcPr>
            <w:tcW w:type="dxa" w:w="5328"/>
            <w:vAlign w:val="center"/>
            <w:shd w:fill="F5F8FC"/>
          </w:tcPr>
          <w:p>
            <w:r/>
            <w:r>
              <w:rPr>
                <w:rFonts w:ascii="Aptos" w:hAnsi="Aptos"/>
                <w:b w:val="0"/>
                <w:sz w:val="18"/>
              </w:rPr>
              <w:t>76 rows</w:t>
            </w:r>
          </w:p>
        </w:tc>
      </w:tr>
      <w:tr>
        <w:trPr>
          <w:cantSplit/>
        </w:trPr>
        <w:tc>
          <w:tcPr>
            <w:tcW w:type="dxa" w:w="3888"/>
            <w:vAlign w:val="center"/>
          </w:tcPr>
          <w:p>
            <w:r/>
            <w:r>
              <w:rPr>
                <w:rFonts w:ascii="Aptos" w:hAnsi="Aptos"/>
                <w:b w:val="0"/>
                <w:sz w:val="18"/>
              </w:rPr>
              <w:t>Missing student regions</w:t>
            </w:r>
          </w:p>
        </w:tc>
        <w:tc>
          <w:tcPr>
            <w:tcW w:type="dxa" w:w="5328"/>
            <w:vAlign w:val="center"/>
          </w:tcPr>
          <w:p>
            <w:r/>
            <w:r>
              <w:rPr>
                <w:rFonts w:ascii="Aptos" w:hAnsi="Aptos"/>
                <w:b w:val="0"/>
                <w:sz w:val="18"/>
              </w:rPr>
              <w:t>84 rows</w:t>
            </w:r>
          </w:p>
        </w:tc>
      </w:tr>
      <w:tr>
        <w:trPr>
          <w:cantSplit/>
        </w:trPr>
        <w:tc>
          <w:tcPr>
            <w:tcW w:type="dxa" w:w="3888"/>
            <w:vAlign w:val="center"/>
            <w:shd w:fill="F5F8FC"/>
          </w:tcPr>
          <w:p>
            <w:r/>
            <w:r>
              <w:rPr>
                <w:rFonts w:ascii="Aptos" w:hAnsi="Aptos"/>
                <w:b w:val="0"/>
                <w:sz w:val="18"/>
              </w:rPr>
              <w:t>Mixed date formats</w:t>
            </w:r>
          </w:p>
        </w:tc>
        <w:tc>
          <w:tcPr>
            <w:tcW w:type="dxa" w:w="5328"/>
            <w:vAlign w:val="center"/>
            <w:shd w:fill="F5F8FC"/>
          </w:tcPr>
          <w:p>
            <w:r/>
            <w:r>
              <w:rPr>
                <w:rFonts w:ascii="Aptos" w:hAnsi="Aptos"/>
                <w:b w:val="0"/>
                <w:sz w:val="18"/>
              </w:rPr>
              <w:t>4 formats in both date fields</w:t>
            </w:r>
          </w:p>
        </w:tc>
      </w:tr>
      <w:tr>
        <w:trPr>
          <w:cantSplit/>
        </w:trPr>
        <w:tc>
          <w:tcPr>
            <w:tcW w:type="dxa" w:w="3888"/>
            <w:vAlign w:val="center"/>
          </w:tcPr>
          <w:p>
            <w:r/>
            <w:r>
              <w:rPr>
                <w:rFonts w:ascii="Aptos" w:hAnsi="Aptos"/>
                <w:b w:val="0"/>
                <w:sz w:val="18"/>
              </w:rPr>
              <w:t>Category inconsistencies</w:t>
            </w:r>
          </w:p>
        </w:tc>
        <w:tc>
          <w:tcPr>
            <w:tcW w:type="dxa" w:w="5328"/>
            <w:vAlign w:val="center"/>
          </w:tcPr>
          <w:p>
            <w:r/>
            <w:r>
              <w:rPr>
                <w:rFonts w:ascii="Aptos" w:hAnsi="Aptos"/>
                <w:b w:val="0"/>
                <w:sz w:val="18"/>
              </w:rPr>
              <w:t>term, sex, and region</w:t>
            </w:r>
          </w:p>
        </w:tc>
      </w:tr>
    </w:tbl>
    <w:p/>
    <w:tbl>
      <w:tblPr>
        <w:tblW w:type="auto" w:w="0"/>
        <w:jc w:val="center"/>
        <w:tblLook w:firstColumn="1" w:firstRow="1" w:lastColumn="0" w:lastRow="0" w:noHBand="0" w:noVBand="1" w:val="04A0"/>
      </w:tblPr>
      <w:tblGrid>
        <w:gridCol w:w="10224"/>
      </w:tblGrid>
      <w:tr>
        <w:trPr>
          <w:cantSplit/>
        </w:trPr>
        <w:tc>
          <w:tcPr>
            <w:tcW w:type="dxa" w:w="10224"/>
            <w:shd w:fill="FFF4E5"/>
            <w:tcBorders>
              <w:left w:val="single" w:sz="18" w:color="C97A00"/>
            </w:tcBorders>
          </w:tcPr>
          <w:p>
            <w:r>
              <w:rPr>
                <w:b/>
                <w:color w:val="C97A00"/>
                <w:sz w:val="22"/>
              </w:rPr>
              <w:t>Presentation takeaway</w:t>
              <w:br/>
            </w:r>
            <w:r>
              <w:rPr>
                <w:sz w:val="20"/>
              </w:rPr>
              <w:t>The raw data is usable, but not yet trustworthy enough for final reporting. Week 3 cleaning must resolve the identified issues before the Power BI model is built.</w:t>
            </w:r>
          </w:p>
        </w:tc>
      </w:tr>
    </w:tbl>
    <w:p/>
    <w:p>
      <w:pPr>
        <w:pStyle w:val="Heading1"/>
      </w:pPr>
      <w:r>
        <w:t>2. Source Tables and Row Counts</w:t>
      </w:r>
    </w:p>
    <w:tbl>
      <w:tblPr>
        <w:tblStyle w:val="TableGrid"/>
        <w:tblW w:type="auto" w:w="0"/>
        <w:jc w:val="center"/>
        <w:tblLook w:firstColumn="1" w:firstRow="1" w:lastColumn="0" w:lastRow="0" w:noHBand="0" w:noVBand="1" w:val="04A0"/>
      </w:tblPr>
      <w:tblGrid>
        <w:gridCol w:w="5112"/>
        <w:gridCol w:w="5112"/>
      </w:tblGrid>
      <w:tr>
        <w:trPr>
          <w:cantSplit/>
        </w:trPr>
        <w:tc>
          <w:tcPr>
            <w:tcW w:type="dxa" w:w="5040"/>
            <w:vAlign w:val="center"/>
            <w:shd w:fill="1F4E78"/>
          </w:tcPr>
          <w:p>
            <w:r/>
            <w:r>
              <w:rPr>
                <w:rFonts w:ascii="Aptos" w:hAnsi="Aptos"/>
                <w:b/>
                <w:color w:val="FFFFFF"/>
                <w:sz w:val="19"/>
              </w:rPr>
              <w:t>Table</w:t>
            </w:r>
          </w:p>
        </w:tc>
        <w:tc>
          <w:tcPr>
            <w:tcW w:type="dxa" w:w="2592"/>
            <w:vAlign w:val="center"/>
            <w:shd w:fill="1F4E78"/>
          </w:tcPr>
          <w:p>
            <w:r/>
            <w:r>
              <w:rPr>
                <w:rFonts w:ascii="Aptos" w:hAnsi="Aptos"/>
                <w:b/>
                <w:color w:val="FFFFFF"/>
                <w:sz w:val="19"/>
              </w:rPr>
              <w:t>Rows</w:t>
            </w:r>
          </w:p>
        </w:tc>
      </w:tr>
      <w:tr>
        <w:trPr>
          <w:cantSplit/>
        </w:trPr>
        <w:tc>
          <w:tcPr>
            <w:tcW w:type="dxa" w:w="5040"/>
            <w:vAlign w:val="center"/>
          </w:tcPr>
          <w:p>
            <w:r/>
            <w:r>
              <w:rPr>
                <w:rFonts w:ascii="Aptos" w:hAnsi="Aptos"/>
                <w:b w:val="0"/>
                <w:sz w:val="18"/>
              </w:rPr>
              <w:t>results</w:t>
            </w:r>
          </w:p>
        </w:tc>
        <w:tc>
          <w:tcPr>
            <w:tcW w:type="dxa" w:w="2592"/>
            <w:vAlign w:val="center"/>
          </w:tcPr>
          <w:p>
            <w:r/>
            <w:r>
              <w:rPr>
                <w:rFonts w:ascii="Aptos" w:hAnsi="Aptos"/>
                <w:b w:val="0"/>
                <w:sz w:val="18"/>
              </w:rPr>
              <w:t>30,120</w:t>
            </w:r>
          </w:p>
        </w:tc>
      </w:tr>
      <w:tr>
        <w:trPr>
          <w:cantSplit/>
        </w:trPr>
        <w:tc>
          <w:tcPr>
            <w:tcW w:type="dxa" w:w="5040"/>
            <w:vAlign w:val="center"/>
            <w:shd w:fill="F5F8FC"/>
          </w:tcPr>
          <w:p>
            <w:r/>
            <w:r>
              <w:rPr>
                <w:rFonts w:ascii="Aptos" w:hAnsi="Aptos"/>
                <w:b w:val="0"/>
                <w:sz w:val="18"/>
              </w:rPr>
              <w:t>students</w:t>
            </w:r>
          </w:p>
        </w:tc>
        <w:tc>
          <w:tcPr>
            <w:tcW w:type="dxa" w:w="2592"/>
            <w:vAlign w:val="center"/>
            <w:shd w:fill="F5F8FC"/>
          </w:tcPr>
          <w:p>
            <w:r/>
            <w:r>
              <w:rPr>
                <w:rFonts w:ascii="Aptos" w:hAnsi="Aptos"/>
                <w:b w:val="0"/>
                <w:sz w:val="18"/>
              </w:rPr>
              <w:t>1,200</w:t>
            </w:r>
          </w:p>
        </w:tc>
      </w:tr>
      <w:tr>
        <w:trPr>
          <w:cantSplit/>
        </w:trPr>
        <w:tc>
          <w:tcPr>
            <w:tcW w:type="dxa" w:w="5040"/>
            <w:vAlign w:val="center"/>
          </w:tcPr>
          <w:p>
            <w:r/>
            <w:r>
              <w:rPr>
                <w:rFonts w:ascii="Aptos" w:hAnsi="Aptos"/>
                <w:b w:val="0"/>
                <w:sz w:val="18"/>
              </w:rPr>
              <w:t>subjects</w:t>
            </w:r>
          </w:p>
        </w:tc>
        <w:tc>
          <w:tcPr>
            <w:tcW w:type="dxa" w:w="2592"/>
            <w:vAlign w:val="center"/>
          </w:tcPr>
          <w:p>
            <w:r/>
            <w:r>
              <w:rPr>
                <w:rFonts w:ascii="Aptos" w:hAnsi="Aptos"/>
                <w:b w:val="0"/>
                <w:sz w:val="18"/>
              </w:rPr>
              <w:t>10</w:t>
            </w:r>
          </w:p>
        </w:tc>
      </w:tr>
      <w:tr>
        <w:trPr>
          <w:cantSplit/>
        </w:trPr>
        <w:tc>
          <w:tcPr>
            <w:tcW w:type="dxa" w:w="5040"/>
            <w:vAlign w:val="center"/>
            <w:shd w:fill="F5F8FC"/>
          </w:tcPr>
          <w:p>
            <w:r/>
            <w:r>
              <w:rPr>
                <w:rFonts w:ascii="Aptos" w:hAnsi="Aptos"/>
                <w:b w:val="0"/>
                <w:sz w:val="18"/>
              </w:rPr>
              <w:t>teachers</w:t>
            </w:r>
          </w:p>
        </w:tc>
        <w:tc>
          <w:tcPr>
            <w:tcW w:type="dxa" w:w="2592"/>
            <w:vAlign w:val="center"/>
            <w:shd w:fill="F5F8FC"/>
          </w:tcPr>
          <w:p>
            <w:r/>
            <w:r>
              <w:rPr>
                <w:rFonts w:ascii="Aptos" w:hAnsi="Aptos"/>
                <w:b w:val="0"/>
                <w:sz w:val="18"/>
              </w:rPr>
              <w:t>50</w:t>
            </w:r>
          </w:p>
        </w:tc>
      </w:tr>
    </w:tbl>
    <w:p/>
    <w:p>
      <w:pPr>
        <w:pStyle w:val="Heading1"/>
      </w:pPr>
      <w:r>
        <w:t>3. Results Table — Key Findings</w:t>
      </w:r>
    </w:p>
    <w:p>
      <w:pPr>
        <w:pStyle w:val="Heading2"/>
      </w:pPr>
      <w:r>
        <w:t>3.1 Missing and Invalid Scores</w:t>
      </w:r>
    </w:p>
    <w:tbl>
      <w:tblPr>
        <w:tblStyle w:val="TableGrid"/>
        <w:tblW w:type="auto" w:w="0"/>
        <w:jc w:val="center"/>
        <w:tblLook w:firstColumn="1" w:firstRow="1" w:lastColumn="0" w:lastRow="0" w:noHBand="0" w:noVBand="1" w:val="04A0"/>
      </w:tblPr>
      <w:tblGrid>
        <w:gridCol w:w="5112"/>
        <w:gridCol w:w="5112"/>
      </w:tblGrid>
      <w:tr>
        <w:trPr>
          <w:cantSplit/>
        </w:trPr>
        <w:tc>
          <w:tcPr>
            <w:tcW w:type="dxa" w:w="5040"/>
            <w:vAlign w:val="center"/>
            <w:shd w:fill="1F4E78"/>
          </w:tcPr>
          <w:p>
            <w:r/>
            <w:r>
              <w:rPr>
                <w:rFonts w:ascii="Aptos" w:hAnsi="Aptos"/>
                <w:b/>
                <w:color w:val="FFFFFF"/>
                <w:sz w:val="19"/>
              </w:rPr>
              <w:t>Metric</w:t>
            </w:r>
          </w:p>
        </w:tc>
        <w:tc>
          <w:tcPr>
            <w:tcW w:type="dxa" w:w="2880"/>
            <w:vAlign w:val="center"/>
            <w:shd w:fill="1F4E78"/>
          </w:tcPr>
          <w:p>
            <w:r/>
            <w:r>
              <w:rPr>
                <w:rFonts w:ascii="Aptos" w:hAnsi="Aptos"/>
                <w:b/>
                <w:color w:val="FFFFFF"/>
                <w:sz w:val="19"/>
              </w:rPr>
              <w:t>Result</w:t>
            </w:r>
          </w:p>
        </w:tc>
      </w:tr>
      <w:tr>
        <w:trPr>
          <w:cantSplit/>
        </w:trPr>
        <w:tc>
          <w:tcPr>
            <w:tcW w:type="dxa" w:w="5040"/>
            <w:vAlign w:val="center"/>
          </w:tcPr>
          <w:p>
            <w:r/>
            <w:r>
              <w:rPr>
                <w:rFonts w:ascii="Aptos" w:hAnsi="Aptos"/>
                <w:b w:val="0"/>
                <w:sz w:val="18"/>
              </w:rPr>
              <w:t>Missing score values</w:t>
            </w:r>
          </w:p>
        </w:tc>
        <w:tc>
          <w:tcPr>
            <w:tcW w:type="dxa" w:w="2880"/>
            <w:vAlign w:val="center"/>
          </w:tcPr>
          <w:p>
            <w:r/>
            <w:r>
              <w:rPr>
                <w:rFonts w:ascii="Aptos" w:hAnsi="Aptos"/>
                <w:b w:val="0"/>
                <w:sz w:val="18"/>
              </w:rPr>
              <w:t>1,507</w:t>
            </w:r>
          </w:p>
        </w:tc>
      </w:tr>
      <w:tr>
        <w:trPr>
          <w:cantSplit/>
        </w:trPr>
        <w:tc>
          <w:tcPr>
            <w:tcW w:type="dxa" w:w="5040"/>
            <w:vAlign w:val="center"/>
            <w:shd w:fill="F5F8FC"/>
          </w:tcPr>
          <w:p>
            <w:r/>
            <w:r>
              <w:rPr>
                <w:rFonts w:ascii="Aptos" w:hAnsi="Aptos"/>
                <w:b w:val="0"/>
                <w:sz w:val="18"/>
              </w:rPr>
              <w:t>Minimum valid/observed score</w:t>
            </w:r>
          </w:p>
        </w:tc>
        <w:tc>
          <w:tcPr>
            <w:tcW w:type="dxa" w:w="2880"/>
            <w:vAlign w:val="center"/>
            <w:shd w:fill="F5F8FC"/>
          </w:tcPr>
          <w:p>
            <w:r/>
            <w:r>
              <w:rPr>
                <w:rFonts w:ascii="Aptos" w:hAnsi="Aptos"/>
                <w:b w:val="0"/>
                <w:sz w:val="18"/>
              </w:rPr>
              <w:t>0</w:t>
            </w:r>
          </w:p>
        </w:tc>
      </w:tr>
      <w:tr>
        <w:trPr>
          <w:cantSplit/>
        </w:trPr>
        <w:tc>
          <w:tcPr>
            <w:tcW w:type="dxa" w:w="5040"/>
            <w:vAlign w:val="center"/>
          </w:tcPr>
          <w:p>
            <w:r/>
            <w:r>
              <w:rPr>
                <w:rFonts w:ascii="Aptos" w:hAnsi="Aptos"/>
                <w:b w:val="0"/>
                <w:sz w:val="18"/>
              </w:rPr>
              <w:t>Maximum observed score</w:t>
            </w:r>
          </w:p>
        </w:tc>
        <w:tc>
          <w:tcPr>
            <w:tcW w:type="dxa" w:w="2880"/>
            <w:vAlign w:val="center"/>
          </w:tcPr>
          <w:p>
            <w:r/>
            <w:r>
              <w:rPr>
                <w:rFonts w:ascii="Aptos" w:hAnsi="Aptos"/>
                <w:b w:val="0"/>
                <w:sz w:val="18"/>
              </w:rPr>
              <w:t>139.9</w:t>
            </w:r>
          </w:p>
        </w:tc>
      </w:tr>
      <w:tr>
        <w:trPr>
          <w:cantSplit/>
        </w:trPr>
        <w:tc>
          <w:tcPr>
            <w:tcW w:type="dxa" w:w="5040"/>
            <w:vAlign w:val="center"/>
            <w:shd w:fill="F5F8FC"/>
          </w:tcPr>
          <w:p>
            <w:r/>
            <w:r>
              <w:rPr>
                <w:rFonts w:ascii="Aptos" w:hAnsi="Aptos"/>
                <w:b w:val="0"/>
                <w:sz w:val="18"/>
              </w:rPr>
              <w:t>Invalid score rows</w:t>
            </w:r>
          </w:p>
        </w:tc>
        <w:tc>
          <w:tcPr>
            <w:tcW w:type="dxa" w:w="2880"/>
            <w:vAlign w:val="center"/>
            <w:shd w:fill="F5F8FC"/>
          </w:tcPr>
          <w:p>
            <w:r/>
            <w:r>
              <w:rPr>
                <w:rFonts w:ascii="Aptos" w:hAnsi="Aptos"/>
                <w:b w:val="0"/>
                <w:sz w:val="18"/>
              </w:rPr>
              <w:t>55</w:t>
            </w:r>
          </w:p>
        </w:tc>
      </w:tr>
      <w:tr>
        <w:trPr>
          <w:cantSplit/>
        </w:trPr>
        <w:tc>
          <w:tcPr>
            <w:tcW w:type="dxa" w:w="5040"/>
            <w:vAlign w:val="center"/>
          </w:tcPr>
          <w:p>
            <w:r/>
            <w:r>
              <w:rPr>
                <w:rFonts w:ascii="Aptos" w:hAnsi="Aptos"/>
                <w:b w:val="0"/>
                <w:sz w:val="18"/>
              </w:rPr>
              <w:t>Invalid attendance rows</w:t>
            </w:r>
          </w:p>
        </w:tc>
        <w:tc>
          <w:tcPr>
            <w:tcW w:type="dxa" w:w="2880"/>
            <w:vAlign w:val="center"/>
          </w:tcPr>
          <w:p>
            <w:r/>
            <w:r>
              <w:rPr>
                <w:rFonts w:ascii="Aptos" w:hAnsi="Aptos"/>
                <w:b w:val="0"/>
                <w:sz w:val="18"/>
              </w:rPr>
              <w:t>0</w:t>
            </w:r>
          </w:p>
        </w:tc>
      </w:tr>
    </w:tbl>
    <w:p/>
    <w:tbl>
      <w:tblPr>
        <w:tblW w:type="auto" w:w="0"/>
        <w:jc w:val="center"/>
        <w:tblLook w:firstColumn="1" w:firstRow="1" w:lastColumn="0" w:lastRow="0" w:noHBand="0" w:noVBand="1" w:val="04A0"/>
      </w:tblPr>
      <w:tblGrid>
        <w:gridCol w:w="10224"/>
      </w:tblGrid>
      <w:tr>
        <w:trPr>
          <w:cantSplit/>
        </w:trPr>
        <w:tc>
          <w:tcPr>
            <w:tcW w:type="dxa" w:w="10224"/>
            <w:shd w:fill="EAF2F8"/>
            <w:tcBorders>
              <w:left w:val="single" w:sz="18" w:color="1F4E78"/>
            </w:tcBorders>
          </w:tcPr>
          <w:p>
            <w:r>
              <w:rPr>
                <w:b/>
                <w:color w:val="1F4E78"/>
                <w:sz w:val="22"/>
              </w:rPr>
              <w:t>Why this matters</w:t>
              <w:br/>
            </w:r>
            <w:r>
              <w:rPr>
                <w:sz w:val="20"/>
              </w:rPr>
              <w:t>Scores drive the core performance analysis. Missing or impossible scores would distort subject averages and weaken the reliability of the final dashboard.</w:t>
            </w:r>
          </w:p>
        </w:tc>
      </w:tr>
    </w:tbl>
    <w:p/>
    <w:p>
      <w:pPr>
        <w:pStyle w:val="Heading2"/>
      </w:pPr>
      <w:r>
        <w:t>3.2 Duplicate Records</w:t>
      </w:r>
    </w:p>
    <w:p>
      <w:pPr>
        <w:jc w:val="both"/>
      </w:pPr>
      <w:r>
        <w:t>Duplicate profiling identified 120 duplicate groups, equal to 120 extra result rows. These records should be deduplicated before calculating final counts and averages.</w:t>
      </w:r>
    </w:p>
    <w:p>
      <w:pPr>
        <w:pStyle w:val="Heading2"/>
      </w:pPr>
      <w:r>
        <w:t>3.3 Orphan Keys</w:t>
      </w:r>
    </w:p>
    <w:tbl>
      <w:tblPr>
        <w:tblStyle w:val="TableGrid"/>
        <w:tblW w:type="auto" w:w="0"/>
        <w:jc w:val="center"/>
        <w:tblLook w:firstColumn="1" w:firstRow="1" w:lastColumn="0" w:lastRow="0" w:noHBand="0" w:noVBand="1" w:val="04A0"/>
      </w:tblPr>
      <w:tblGrid>
        <w:gridCol w:w="5112"/>
        <w:gridCol w:w="5112"/>
      </w:tblGrid>
      <w:tr>
        <w:trPr>
          <w:cantSplit/>
        </w:trPr>
        <w:tc>
          <w:tcPr>
            <w:tcW w:type="dxa" w:w="5040"/>
            <w:vAlign w:val="center"/>
            <w:shd w:fill="1F4E78"/>
          </w:tcPr>
          <w:p>
            <w:r/>
            <w:r>
              <w:rPr>
                <w:rFonts w:ascii="Aptos" w:hAnsi="Aptos"/>
                <w:b/>
                <w:color w:val="FFFFFF"/>
                <w:sz w:val="19"/>
              </w:rPr>
              <w:t>Relationship</w:t>
            </w:r>
          </w:p>
        </w:tc>
        <w:tc>
          <w:tcPr>
            <w:tcW w:type="dxa" w:w="2880"/>
            <w:vAlign w:val="center"/>
            <w:shd w:fill="1F4E78"/>
          </w:tcPr>
          <w:p>
            <w:r/>
            <w:r>
              <w:rPr>
                <w:rFonts w:ascii="Aptos" w:hAnsi="Aptos"/>
                <w:b/>
                <w:color w:val="FFFFFF"/>
                <w:sz w:val="19"/>
              </w:rPr>
              <w:t>Orphan Rows</w:t>
            </w:r>
          </w:p>
        </w:tc>
      </w:tr>
      <w:tr>
        <w:trPr>
          <w:cantSplit/>
        </w:trPr>
        <w:tc>
          <w:tcPr>
            <w:tcW w:type="dxa" w:w="5040"/>
            <w:vAlign w:val="center"/>
          </w:tcPr>
          <w:p>
            <w:r/>
            <w:r>
              <w:rPr>
                <w:rFonts w:ascii="Aptos" w:hAnsi="Aptos"/>
                <w:b w:val="0"/>
                <w:sz w:val="18"/>
              </w:rPr>
              <w:t>results → students</w:t>
            </w:r>
          </w:p>
        </w:tc>
        <w:tc>
          <w:tcPr>
            <w:tcW w:type="dxa" w:w="2880"/>
            <w:vAlign w:val="center"/>
          </w:tcPr>
          <w:p>
            <w:r/>
            <w:r>
              <w:rPr>
                <w:rFonts w:ascii="Aptos" w:hAnsi="Aptos"/>
                <w:b w:val="0"/>
                <w:sz w:val="18"/>
              </w:rPr>
              <w:t>76</w:t>
            </w:r>
          </w:p>
        </w:tc>
      </w:tr>
      <w:tr>
        <w:trPr>
          <w:cantSplit/>
        </w:trPr>
        <w:tc>
          <w:tcPr>
            <w:tcW w:type="dxa" w:w="5040"/>
            <w:vAlign w:val="center"/>
            <w:shd w:fill="F5F8FC"/>
          </w:tcPr>
          <w:p>
            <w:r/>
            <w:r>
              <w:rPr>
                <w:rFonts w:ascii="Aptos" w:hAnsi="Aptos"/>
                <w:b w:val="0"/>
                <w:sz w:val="18"/>
              </w:rPr>
              <w:t>results → subjects</w:t>
            </w:r>
          </w:p>
        </w:tc>
        <w:tc>
          <w:tcPr>
            <w:tcW w:type="dxa" w:w="2880"/>
            <w:vAlign w:val="center"/>
            <w:shd w:fill="F5F8FC"/>
          </w:tcPr>
          <w:p>
            <w:r/>
            <w:r>
              <w:rPr>
                <w:rFonts w:ascii="Aptos" w:hAnsi="Aptos"/>
                <w:b w:val="0"/>
                <w:sz w:val="18"/>
              </w:rPr>
              <w:t>0</w:t>
            </w:r>
          </w:p>
        </w:tc>
      </w:tr>
      <w:tr>
        <w:trPr>
          <w:cantSplit/>
        </w:trPr>
        <w:tc>
          <w:tcPr>
            <w:tcW w:type="dxa" w:w="5040"/>
            <w:vAlign w:val="center"/>
          </w:tcPr>
          <w:p>
            <w:r/>
            <w:r>
              <w:rPr>
                <w:rFonts w:ascii="Aptos" w:hAnsi="Aptos"/>
                <w:b w:val="0"/>
                <w:sz w:val="18"/>
              </w:rPr>
              <w:t>results → teachers</w:t>
            </w:r>
          </w:p>
        </w:tc>
        <w:tc>
          <w:tcPr>
            <w:tcW w:type="dxa" w:w="2880"/>
            <w:vAlign w:val="center"/>
          </w:tcPr>
          <w:p>
            <w:r/>
            <w:r>
              <w:rPr>
                <w:rFonts w:ascii="Aptos" w:hAnsi="Aptos"/>
                <w:b w:val="0"/>
                <w:sz w:val="18"/>
              </w:rPr>
              <w:t>0</w:t>
            </w:r>
          </w:p>
        </w:tc>
      </w:tr>
    </w:tbl>
    <w:p/>
    <w:tbl>
      <w:tblPr>
        <w:tblW w:type="auto" w:w="0"/>
        <w:jc w:val="center"/>
        <w:tblLook w:firstColumn="1" w:firstRow="1" w:lastColumn="0" w:lastRow="0" w:noHBand="0" w:noVBand="1" w:val="04A0"/>
      </w:tblPr>
      <w:tblGrid>
        <w:gridCol w:w="10224"/>
      </w:tblGrid>
      <w:tr>
        <w:trPr>
          <w:cantSplit/>
        </w:trPr>
        <w:tc>
          <w:tcPr>
            <w:tcW w:type="dxa" w:w="10224"/>
            <w:shd w:fill="EAF2F8"/>
            <w:tcBorders>
              <w:left w:val="single" w:sz="18" w:color="1F4E78"/>
            </w:tcBorders>
          </w:tcPr>
          <w:p>
            <w:r>
              <w:rPr>
                <w:b/>
                <w:color w:val="1F4E78"/>
                <w:sz w:val="22"/>
              </w:rPr>
              <w:t>Model impact</w:t>
              <w:br/>
            </w:r>
            <w:r>
              <w:rPr>
                <w:sz w:val="20"/>
              </w:rPr>
              <w:t>The 76 unmatched student references would break the student relationship in a star schema unless they are investigated and handled during cleaning.</w:t>
            </w:r>
          </w:p>
        </w:tc>
      </w:tr>
    </w:tbl>
    <w:p/>
    <w:p>
      <w:pPr>
        <w:pStyle w:val="Heading2"/>
      </w:pPr>
      <w:r>
        <w:t>3.4 Inconsistent Term Values</w:t>
      </w:r>
    </w:p>
    <w:p>
      <w:r>
        <w:t>The term field contains 12 stored variants representing only three real terms. Examples include term 1, Term 1, TERM 1, and similar variants for Terms 2 and 3.</w:t>
      </w:r>
    </w:p>
    <w:p>
      <w:pPr>
        <w:pStyle w:val="Heading1"/>
      </w:pPr>
      <w:r>
        <w:t>4. Date Quality</w:t>
      </w:r>
    </w:p>
    <w:p>
      <w:pPr>
        <w:pStyle w:val="Heading2"/>
      </w:pPr>
      <w:r>
        <w:t>4.1 exam_date</w:t>
      </w:r>
    </w:p>
    <w:tbl>
      <w:tblPr>
        <w:tblStyle w:val="TableGrid"/>
        <w:tblW w:type="auto" w:w="0"/>
        <w:jc w:val="center"/>
        <w:tblLook w:firstColumn="1" w:firstRow="1" w:lastColumn="0" w:lastRow="0" w:noHBand="0" w:noVBand="1" w:val="04A0"/>
      </w:tblPr>
      <w:tblGrid>
        <w:gridCol w:w="5112"/>
        <w:gridCol w:w="5112"/>
      </w:tblGrid>
      <w:tr>
        <w:trPr>
          <w:cantSplit/>
        </w:trPr>
        <w:tc>
          <w:tcPr>
            <w:tcW w:type="dxa" w:w="4896"/>
            <w:vAlign w:val="center"/>
            <w:shd w:fill="1F4E78"/>
          </w:tcPr>
          <w:p>
            <w:r/>
            <w:r>
              <w:rPr>
                <w:rFonts w:ascii="Aptos" w:hAnsi="Aptos"/>
                <w:b/>
                <w:color w:val="FFFFFF"/>
                <w:sz w:val="19"/>
              </w:rPr>
              <w:t>Format</w:t>
            </w:r>
          </w:p>
        </w:tc>
        <w:tc>
          <w:tcPr>
            <w:tcW w:type="dxa" w:w="3024"/>
            <w:vAlign w:val="center"/>
            <w:shd w:fill="1F4E78"/>
          </w:tcPr>
          <w:p>
            <w:r/>
            <w:r>
              <w:rPr>
                <w:rFonts w:ascii="Aptos" w:hAnsi="Aptos"/>
                <w:b/>
                <w:color w:val="FFFFFF"/>
                <w:sz w:val="19"/>
              </w:rPr>
              <w:t>Rows</w:t>
            </w:r>
          </w:p>
        </w:tc>
      </w:tr>
      <w:tr>
        <w:trPr>
          <w:cantSplit/>
        </w:trPr>
        <w:tc>
          <w:tcPr>
            <w:tcW w:type="dxa" w:w="4896"/>
            <w:vAlign w:val="center"/>
          </w:tcPr>
          <w:p>
            <w:r/>
            <w:r>
              <w:rPr>
                <w:rFonts w:ascii="Aptos" w:hAnsi="Aptos"/>
                <w:b w:val="0"/>
                <w:sz w:val="18"/>
              </w:rPr>
              <w:t>YYYY-MM-DD</w:t>
            </w:r>
          </w:p>
        </w:tc>
        <w:tc>
          <w:tcPr>
            <w:tcW w:type="dxa" w:w="3024"/>
            <w:vAlign w:val="center"/>
          </w:tcPr>
          <w:p>
            <w:r/>
            <w:r>
              <w:rPr>
                <w:rFonts w:ascii="Aptos" w:hAnsi="Aptos"/>
                <w:b w:val="0"/>
                <w:sz w:val="18"/>
              </w:rPr>
              <w:t>24,696</w:t>
            </w:r>
          </w:p>
        </w:tc>
      </w:tr>
      <w:tr>
        <w:trPr>
          <w:cantSplit/>
        </w:trPr>
        <w:tc>
          <w:tcPr>
            <w:tcW w:type="dxa" w:w="4896"/>
            <w:vAlign w:val="center"/>
            <w:shd w:fill="F5F8FC"/>
          </w:tcPr>
          <w:p>
            <w:r/>
            <w:r>
              <w:rPr>
                <w:rFonts w:ascii="Aptos" w:hAnsi="Aptos"/>
                <w:b w:val="0"/>
                <w:sz w:val="18"/>
              </w:rPr>
              <w:t>DD-Mon-YYYY</w:t>
            </w:r>
          </w:p>
        </w:tc>
        <w:tc>
          <w:tcPr>
            <w:tcW w:type="dxa" w:w="3024"/>
            <w:vAlign w:val="center"/>
            <w:shd w:fill="F5F8FC"/>
          </w:tcPr>
          <w:p>
            <w:r/>
            <w:r>
              <w:rPr>
                <w:rFonts w:ascii="Aptos" w:hAnsi="Aptos"/>
                <w:b w:val="0"/>
                <w:sz w:val="18"/>
              </w:rPr>
              <w:t>1,826</w:t>
            </w:r>
          </w:p>
        </w:tc>
      </w:tr>
      <w:tr>
        <w:trPr>
          <w:cantSplit/>
        </w:trPr>
        <w:tc>
          <w:tcPr>
            <w:tcW w:type="dxa" w:w="4896"/>
            <w:vAlign w:val="center"/>
          </w:tcPr>
          <w:p>
            <w:r/>
            <w:r>
              <w:rPr>
                <w:rFonts w:ascii="Aptos" w:hAnsi="Aptos"/>
                <w:b w:val="0"/>
                <w:sz w:val="18"/>
              </w:rPr>
              <w:t>YYYY/MM/DD</w:t>
            </w:r>
          </w:p>
        </w:tc>
        <w:tc>
          <w:tcPr>
            <w:tcW w:type="dxa" w:w="3024"/>
            <w:vAlign w:val="center"/>
          </w:tcPr>
          <w:p>
            <w:r/>
            <w:r>
              <w:rPr>
                <w:rFonts w:ascii="Aptos" w:hAnsi="Aptos"/>
                <w:b w:val="0"/>
                <w:sz w:val="18"/>
              </w:rPr>
              <w:t>1,811</w:t>
            </w:r>
          </w:p>
        </w:tc>
      </w:tr>
      <w:tr>
        <w:trPr>
          <w:cantSplit/>
        </w:trPr>
        <w:tc>
          <w:tcPr>
            <w:tcW w:type="dxa" w:w="4896"/>
            <w:vAlign w:val="center"/>
            <w:shd w:fill="F5F8FC"/>
          </w:tcPr>
          <w:p>
            <w:r/>
            <w:r>
              <w:rPr>
                <w:rFonts w:ascii="Aptos" w:hAnsi="Aptos"/>
                <w:b w:val="0"/>
                <w:sz w:val="18"/>
              </w:rPr>
              <w:t>DD/MM/YYYY or MM/DD/YYYY</w:t>
            </w:r>
          </w:p>
        </w:tc>
        <w:tc>
          <w:tcPr>
            <w:tcW w:type="dxa" w:w="3024"/>
            <w:vAlign w:val="center"/>
            <w:shd w:fill="F5F8FC"/>
          </w:tcPr>
          <w:p>
            <w:r/>
            <w:r>
              <w:rPr>
                <w:rFonts w:ascii="Aptos" w:hAnsi="Aptos"/>
                <w:b w:val="0"/>
                <w:sz w:val="18"/>
              </w:rPr>
              <w:t>1,787</w:t>
            </w:r>
          </w:p>
        </w:tc>
      </w:tr>
    </w:tbl>
    <w:p/>
    <w:p>
      <w:pPr>
        <w:pStyle w:val="Heading2"/>
      </w:pPr>
      <w:r>
        <w:t>4.2 enrolled_date</w:t>
      </w:r>
    </w:p>
    <w:tbl>
      <w:tblPr>
        <w:tblStyle w:val="TableGrid"/>
        <w:tblW w:type="auto" w:w="0"/>
        <w:jc w:val="center"/>
        <w:tblLook w:firstColumn="1" w:firstRow="1" w:lastColumn="0" w:lastRow="0" w:noHBand="0" w:noVBand="1" w:val="04A0"/>
      </w:tblPr>
      <w:tblGrid>
        <w:gridCol w:w="5112"/>
        <w:gridCol w:w="5112"/>
      </w:tblGrid>
      <w:tr>
        <w:trPr>
          <w:cantSplit/>
        </w:trPr>
        <w:tc>
          <w:tcPr>
            <w:tcW w:type="dxa" w:w="4896"/>
            <w:vAlign w:val="center"/>
            <w:shd w:fill="1F4E78"/>
          </w:tcPr>
          <w:p>
            <w:r/>
            <w:r>
              <w:rPr>
                <w:rFonts w:ascii="Aptos" w:hAnsi="Aptos"/>
                <w:b/>
                <w:color w:val="FFFFFF"/>
                <w:sz w:val="19"/>
              </w:rPr>
              <w:t>Format</w:t>
            </w:r>
          </w:p>
        </w:tc>
        <w:tc>
          <w:tcPr>
            <w:tcW w:type="dxa" w:w="3024"/>
            <w:vAlign w:val="center"/>
            <w:shd w:fill="1F4E78"/>
          </w:tcPr>
          <w:p>
            <w:r/>
            <w:r>
              <w:rPr>
                <w:rFonts w:ascii="Aptos" w:hAnsi="Aptos"/>
                <w:b/>
                <w:color w:val="FFFFFF"/>
                <w:sz w:val="19"/>
              </w:rPr>
              <w:t>Rows</w:t>
            </w:r>
          </w:p>
        </w:tc>
      </w:tr>
      <w:tr>
        <w:trPr>
          <w:cantSplit/>
        </w:trPr>
        <w:tc>
          <w:tcPr>
            <w:tcW w:type="dxa" w:w="4896"/>
            <w:vAlign w:val="center"/>
          </w:tcPr>
          <w:p>
            <w:r/>
            <w:r>
              <w:rPr>
                <w:rFonts w:ascii="Aptos" w:hAnsi="Aptos"/>
                <w:b w:val="0"/>
                <w:sz w:val="18"/>
              </w:rPr>
              <w:t>YYYY-MM-DD</w:t>
            </w:r>
          </w:p>
        </w:tc>
        <w:tc>
          <w:tcPr>
            <w:tcW w:type="dxa" w:w="3024"/>
            <w:vAlign w:val="center"/>
          </w:tcPr>
          <w:p>
            <w:r/>
            <w:r>
              <w:rPr>
                <w:rFonts w:ascii="Aptos" w:hAnsi="Aptos"/>
                <w:b w:val="0"/>
                <w:sz w:val="18"/>
              </w:rPr>
              <w:t>1,004</w:t>
            </w:r>
          </w:p>
        </w:tc>
      </w:tr>
      <w:tr>
        <w:trPr>
          <w:cantSplit/>
        </w:trPr>
        <w:tc>
          <w:tcPr>
            <w:tcW w:type="dxa" w:w="4896"/>
            <w:vAlign w:val="center"/>
            <w:shd w:fill="F5F8FC"/>
          </w:tcPr>
          <w:p>
            <w:r/>
            <w:r>
              <w:rPr>
                <w:rFonts w:ascii="Aptos" w:hAnsi="Aptos"/>
                <w:b w:val="0"/>
                <w:sz w:val="18"/>
              </w:rPr>
              <w:t>DD/MM/YYYY or MM/DD/YYYY</w:t>
            </w:r>
          </w:p>
        </w:tc>
        <w:tc>
          <w:tcPr>
            <w:tcW w:type="dxa" w:w="3024"/>
            <w:vAlign w:val="center"/>
            <w:shd w:fill="F5F8FC"/>
          </w:tcPr>
          <w:p>
            <w:r/>
            <w:r>
              <w:rPr>
                <w:rFonts w:ascii="Aptos" w:hAnsi="Aptos"/>
                <w:b w:val="0"/>
                <w:sz w:val="18"/>
              </w:rPr>
              <w:t>68</w:t>
            </w:r>
          </w:p>
        </w:tc>
      </w:tr>
      <w:tr>
        <w:trPr>
          <w:cantSplit/>
        </w:trPr>
        <w:tc>
          <w:tcPr>
            <w:tcW w:type="dxa" w:w="4896"/>
            <w:vAlign w:val="center"/>
          </w:tcPr>
          <w:p>
            <w:r/>
            <w:r>
              <w:rPr>
                <w:rFonts w:ascii="Aptos" w:hAnsi="Aptos"/>
                <w:b w:val="0"/>
                <w:sz w:val="18"/>
              </w:rPr>
              <w:t>YYYY/MM/DD</w:t>
            </w:r>
          </w:p>
        </w:tc>
        <w:tc>
          <w:tcPr>
            <w:tcW w:type="dxa" w:w="3024"/>
            <w:vAlign w:val="center"/>
          </w:tcPr>
          <w:p>
            <w:r/>
            <w:r>
              <w:rPr>
                <w:rFonts w:ascii="Aptos" w:hAnsi="Aptos"/>
                <w:b w:val="0"/>
                <w:sz w:val="18"/>
              </w:rPr>
              <w:t>66</w:t>
            </w:r>
          </w:p>
        </w:tc>
      </w:tr>
      <w:tr>
        <w:trPr>
          <w:cantSplit/>
        </w:trPr>
        <w:tc>
          <w:tcPr>
            <w:tcW w:type="dxa" w:w="4896"/>
            <w:vAlign w:val="center"/>
            <w:shd w:fill="F5F8FC"/>
          </w:tcPr>
          <w:p>
            <w:r/>
            <w:r>
              <w:rPr>
                <w:rFonts w:ascii="Aptos" w:hAnsi="Aptos"/>
                <w:b w:val="0"/>
                <w:sz w:val="18"/>
              </w:rPr>
              <w:t>DD-Mon-YYYY</w:t>
            </w:r>
          </w:p>
        </w:tc>
        <w:tc>
          <w:tcPr>
            <w:tcW w:type="dxa" w:w="3024"/>
            <w:vAlign w:val="center"/>
            <w:shd w:fill="F5F8FC"/>
          </w:tcPr>
          <w:p>
            <w:r/>
            <w:r>
              <w:rPr>
                <w:rFonts w:ascii="Aptos" w:hAnsi="Aptos"/>
                <w:b w:val="0"/>
                <w:sz w:val="18"/>
              </w:rPr>
              <w:t>62</w:t>
            </w:r>
          </w:p>
        </w:tc>
      </w:tr>
    </w:tbl>
    <w:p/>
    <w:tbl>
      <w:tblPr>
        <w:tblW w:type="auto" w:w="0"/>
        <w:jc w:val="center"/>
        <w:tblLook w:firstColumn="1" w:firstRow="1" w:lastColumn="0" w:lastRow="0" w:noHBand="0" w:noVBand="1" w:val="04A0"/>
      </w:tblPr>
      <w:tblGrid>
        <w:gridCol w:w="10224"/>
      </w:tblGrid>
      <w:tr>
        <w:trPr>
          <w:cantSplit/>
        </w:trPr>
        <w:tc>
          <w:tcPr>
            <w:tcW w:type="dxa" w:w="10224"/>
            <w:shd w:fill="EAF2F8"/>
            <w:tcBorders>
              <w:left w:val="single" w:sz="18" w:color="1F4E78"/>
            </w:tcBorders>
          </w:tcPr>
          <w:p>
            <w:r>
              <w:rPr>
                <w:b/>
                <w:color w:val="1F4E78"/>
                <w:sz w:val="22"/>
              </w:rPr>
              <w:t>Cleaning requirement</w:t>
              <w:br/>
            </w:r>
            <w:r>
              <w:rPr>
                <w:sz w:val="20"/>
              </w:rPr>
              <w:t>Both date fields are stored as text and must be parsed into one consistent date type. Slash-formatted dates require a clearly documented day/month rule.</w:t>
            </w:r>
          </w:p>
        </w:tc>
      </w:tr>
    </w:tbl>
    <w:p/>
    <w:p>
      <w:pPr>
        <w:pStyle w:val="Heading1"/>
      </w:pPr>
      <w:r>
        <w:t>5. Students Table — Key Findings</w:t>
      </w:r>
    </w:p>
    <w:p>
      <w:pPr>
        <w:pStyle w:val="Heading2"/>
      </w:pPr>
      <w:r>
        <w:t>5.1 Category Standardisation</w:t>
      </w:r>
    </w:p>
    <w:p>
      <w:pPr>
        <w:jc w:val="both"/>
      </w:pPr>
      <w:r>
        <w:t>The sex field contains 8 stored variants representing two real categories. Examples include female, Female, FEMALE, male, Male, and MALE. Region values also appear with inconsistent capitalization and likely spacing, such as ashanti/Ashanti/ASHANTI and bono/Bono/BONO.</w:t>
      </w:r>
    </w:p>
    <w:p>
      <w:pPr>
        <w:pStyle w:val="Heading2"/>
      </w:pPr>
      <w:r>
        <w:t>5.2 Missing Values</w:t>
      </w:r>
    </w:p>
    <w:tbl>
      <w:tblPr>
        <w:tblStyle w:val="TableGrid"/>
        <w:tblW w:type="auto" w:w="0"/>
        <w:jc w:val="center"/>
        <w:tblLook w:firstColumn="1" w:firstRow="1" w:lastColumn="0" w:lastRow="0" w:noHBand="0" w:noVBand="1" w:val="04A0"/>
      </w:tblPr>
      <w:tblGrid>
        <w:gridCol w:w="5112"/>
        <w:gridCol w:w="5112"/>
      </w:tblGrid>
      <w:tr>
        <w:trPr>
          <w:cantSplit/>
        </w:trPr>
        <w:tc>
          <w:tcPr>
            <w:tcW w:type="dxa" w:w="4896"/>
            <w:vAlign w:val="center"/>
            <w:shd w:fill="1F4E78"/>
          </w:tcPr>
          <w:p>
            <w:r/>
            <w:r>
              <w:rPr>
                <w:rFonts w:ascii="Aptos" w:hAnsi="Aptos"/>
                <w:b/>
                <w:color w:val="FFFFFF"/>
                <w:sz w:val="19"/>
              </w:rPr>
              <w:t>Field</w:t>
            </w:r>
          </w:p>
        </w:tc>
        <w:tc>
          <w:tcPr>
            <w:tcW w:type="dxa" w:w="3024"/>
            <w:vAlign w:val="center"/>
            <w:shd w:fill="1F4E78"/>
          </w:tcPr>
          <w:p>
            <w:r/>
            <w:r>
              <w:rPr>
                <w:rFonts w:ascii="Aptos" w:hAnsi="Aptos"/>
                <w:b/>
                <w:color w:val="FFFFFF"/>
                <w:sz w:val="19"/>
              </w:rPr>
              <w:t>Missing Values</w:t>
            </w:r>
          </w:p>
        </w:tc>
      </w:tr>
      <w:tr>
        <w:trPr>
          <w:cantSplit/>
        </w:trPr>
        <w:tc>
          <w:tcPr>
            <w:tcW w:type="dxa" w:w="4896"/>
            <w:vAlign w:val="center"/>
          </w:tcPr>
          <w:p>
            <w:r/>
            <w:r>
              <w:rPr>
                <w:rFonts w:ascii="Aptos" w:hAnsi="Aptos"/>
                <w:b w:val="0"/>
                <w:sz w:val="18"/>
              </w:rPr>
              <w:t>student_name</w:t>
            </w:r>
          </w:p>
        </w:tc>
        <w:tc>
          <w:tcPr>
            <w:tcW w:type="dxa" w:w="3024"/>
            <w:vAlign w:val="center"/>
          </w:tcPr>
          <w:p>
            <w:r/>
            <w:r>
              <w:rPr>
                <w:rFonts w:ascii="Aptos" w:hAnsi="Aptos"/>
                <w:b w:val="0"/>
                <w:sz w:val="18"/>
              </w:rPr>
              <w:t>0</w:t>
            </w:r>
          </w:p>
        </w:tc>
      </w:tr>
      <w:tr>
        <w:trPr>
          <w:cantSplit/>
        </w:trPr>
        <w:tc>
          <w:tcPr>
            <w:tcW w:type="dxa" w:w="4896"/>
            <w:vAlign w:val="center"/>
            <w:shd w:fill="F5F8FC"/>
          </w:tcPr>
          <w:p>
            <w:r/>
            <w:r>
              <w:rPr>
                <w:rFonts w:ascii="Aptos" w:hAnsi="Aptos"/>
                <w:b w:val="0"/>
                <w:sz w:val="18"/>
              </w:rPr>
              <w:t>sex</w:t>
            </w:r>
          </w:p>
        </w:tc>
        <w:tc>
          <w:tcPr>
            <w:tcW w:type="dxa" w:w="3024"/>
            <w:vAlign w:val="center"/>
            <w:shd w:fill="F5F8FC"/>
          </w:tcPr>
          <w:p>
            <w:r/>
            <w:r>
              <w:rPr>
                <w:rFonts w:ascii="Aptos" w:hAnsi="Aptos"/>
                <w:b w:val="0"/>
                <w:sz w:val="18"/>
              </w:rPr>
              <w:t>0</w:t>
            </w:r>
          </w:p>
        </w:tc>
      </w:tr>
      <w:tr>
        <w:trPr>
          <w:cantSplit/>
        </w:trPr>
        <w:tc>
          <w:tcPr>
            <w:tcW w:type="dxa" w:w="4896"/>
            <w:vAlign w:val="center"/>
          </w:tcPr>
          <w:p>
            <w:r/>
            <w:r>
              <w:rPr>
                <w:rFonts w:ascii="Aptos" w:hAnsi="Aptos"/>
                <w:b w:val="0"/>
                <w:sz w:val="18"/>
              </w:rPr>
              <w:t>year_group</w:t>
            </w:r>
          </w:p>
        </w:tc>
        <w:tc>
          <w:tcPr>
            <w:tcW w:type="dxa" w:w="3024"/>
            <w:vAlign w:val="center"/>
          </w:tcPr>
          <w:p>
            <w:r/>
            <w:r>
              <w:rPr>
                <w:rFonts w:ascii="Aptos" w:hAnsi="Aptos"/>
                <w:b w:val="0"/>
                <w:sz w:val="18"/>
              </w:rPr>
              <w:t>0</w:t>
            </w:r>
          </w:p>
        </w:tc>
      </w:tr>
      <w:tr>
        <w:trPr>
          <w:cantSplit/>
        </w:trPr>
        <w:tc>
          <w:tcPr>
            <w:tcW w:type="dxa" w:w="4896"/>
            <w:vAlign w:val="center"/>
            <w:shd w:fill="F5F8FC"/>
          </w:tcPr>
          <w:p>
            <w:r/>
            <w:r>
              <w:rPr>
                <w:rFonts w:ascii="Aptos" w:hAnsi="Aptos"/>
                <w:b w:val="0"/>
                <w:sz w:val="18"/>
              </w:rPr>
              <w:t>region</w:t>
            </w:r>
          </w:p>
        </w:tc>
        <w:tc>
          <w:tcPr>
            <w:tcW w:type="dxa" w:w="3024"/>
            <w:vAlign w:val="center"/>
            <w:shd w:fill="F5F8FC"/>
          </w:tcPr>
          <w:p>
            <w:r/>
            <w:r>
              <w:rPr>
                <w:rFonts w:ascii="Aptos" w:hAnsi="Aptos"/>
                <w:b w:val="0"/>
                <w:sz w:val="18"/>
              </w:rPr>
              <w:t>84</w:t>
            </w:r>
          </w:p>
        </w:tc>
      </w:tr>
      <w:tr>
        <w:trPr>
          <w:cantSplit/>
        </w:trPr>
        <w:tc>
          <w:tcPr>
            <w:tcW w:type="dxa" w:w="4896"/>
            <w:vAlign w:val="center"/>
          </w:tcPr>
          <w:p>
            <w:r/>
            <w:r>
              <w:rPr>
                <w:rFonts w:ascii="Aptos" w:hAnsi="Aptos"/>
                <w:b w:val="0"/>
                <w:sz w:val="18"/>
              </w:rPr>
              <w:t>enrolled_date</w:t>
            </w:r>
          </w:p>
        </w:tc>
        <w:tc>
          <w:tcPr>
            <w:tcW w:type="dxa" w:w="3024"/>
            <w:vAlign w:val="center"/>
          </w:tcPr>
          <w:p>
            <w:r/>
            <w:r>
              <w:rPr>
                <w:rFonts w:ascii="Aptos" w:hAnsi="Aptos"/>
                <w:b w:val="0"/>
                <w:sz w:val="18"/>
              </w:rPr>
              <w:t>0</w:t>
            </w:r>
          </w:p>
        </w:tc>
      </w:tr>
    </w:tbl>
    <w:p/>
    <w:p>
      <w:r>
        <w:t>No duplicate student groups were identified using student name, sex, year group, region, and enrolled date.</w:t>
      </w:r>
    </w:p>
    <w:p>
      <w:pPr>
        <w:pStyle w:val="Heading1"/>
      </w:pPr>
      <w:r>
        <w:t>6. Preliminary Analytical Findings</w:t>
      </w:r>
    </w:p>
    <w:p>
      <w:r>
        <w:rPr>
          <w:i/>
        </w:rPr>
        <w:t>These findings are based on raw data and are therefore provisional. They should be repeated after Week 3 cleaning.</w:t>
      </w:r>
    </w:p>
    <w:p>
      <w:pPr>
        <w:pStyle w:val="Heading2"/>
      </w:pPr>
      <w:r>
        <w:t>6.1 Weakest Subjects by Average Valid Score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152"/>
            <w:vAlign w:val="center"/>
            <w:shd w:fill="1F4E78"/>
          </w:tcPr>
          <w:p>
            <w:r/>
            <w:r>
              <w:rPr>
                <w:rFonts w:ascii="Aptos" w:hAnsi="Aptos"/>
                <w:b/>
                <w:color w:val="FFFFFF"/>
                <w:sz w:val="19"/>
              </w:rPr>
              <w:t>Rank</w:t>
            </w:r>
          </w:p>
        </w:tc>
        <w:tc>
          <w:tcPr>
            <w:tcW w:type="dxa" w:w="5328"/>
            <w:vAlign w:val="center"/>
            <w:shd w:fill="1F4E78"/>
          </w:tcPr>
          <w:p>
            <w:r/>
            <w:r>
              <w:rPr>
                <w:rFonts w:ascii="Aptos" w:hAnsi="Aptos"/>
                <w:b/>
                <w:color w:val="FFFFFF"/>
                <w:sz w:val="19"/>
              </w:rPr>
              <w:t>Subject</w:t>
            </w:r>
          </w:p>
        </w:tc>
        <w:tc>
          <w:tcPr>
            <w:tcW w:type="dxa" w:w="2160"/>
            <w:vAlign w:val="center"/>
            <w:shd w:fill="1F4E78"/>
          </w:tcPr>
          <w:p>
            <w:r/>
            <w:r>
              <w:rPr>
                <w:rFonts w:ascii="Aptos" w:hAnsi="Aptos"/>
                <w:b/>
                <w:color w:val="FFFFFF"/>
                <w:sz w:val="19"/>
              </w:rPr>
              <w:t>Average Score</w:t>
            </w:r>
          </w:p>
        </w:tc>
      </w:tr>
      <w:tr>
        <w:trPr>
          <w:cantSplit/>
        </w:trPr>
        <w:tc>
          <w:tcPr>
            <w:tcW w:type="dxa" w:w="1152"/>
            <w:vAlign w:val="center"/>
          </w:tcPr>
          <w:p>
            <w:r/>
            <w:r>
              <w:rPr>
                <w:rFonts w:ascii="Aptos" w:hAnsi="Aptos"/>
                <w:b w:val="0"/>
                <w:sz w:val="18"/>
              </w:rPr>
              <w:t>1</w:t>
            </w:r>
          </w:p>
        </w:tc>
        <w:tc>
          <w:tcPr>
            <w:tcW w:type="dxa" w:w="5328"/>
            <w:vAlign w:val="center"/>
          </w:tcPr>
          <w:p>
            <w:r/>
            <w:r>
              <w:rPr>
                <w:rFonts w:ascii="Aptos" w:hAnsi="Aptos"/>
                <w:b w:val="0"/>
                <w:sz w:val="18"/>
              </w:rPr>
              <w:t>Integrated Science</w:t>
            </w:r>
          </w:p>
        </w:tc>
        <w:tc>
          <w:tcPr>
            <w:tcW w:type="dxa" w:w="2160"/>
            <w:vAlign w:val="center"/>
          </w:tcPr>
          <w:p>
            <w:r/>
            <w:r>
              <w:rPr>
                <w:rFonts w:ascii="Aptos" w:hAnsi="Aptos"/>
                <w:b w:val="0"/>
                <w:sz w:val="18"/>
              </w:rPr>
              <w:t>57.19</w:t>
            </w:r>
          </w:p>
        </w:tc>
      </w:tr>
      <w:tr>
        <w:trPr>
          <w:cantSplit/>
        </w:trPr>
        <w:tc>
          <w:tcPr>
            <w:tcW w:type="dxa" w:w="1152"/>
            <w:vAlign w:val="center"/>
            <w:shd w:fill="F5F8FC"/>
          </w:tcPr>
          <w:p>
            <w:r/>
            <w:r>
              <w:rPr>
                <w:rFonts w:ascii="Aptos" w:hAnsi="Aptos"/>
                <w:b w:val="0"/>
                <w:sz w:val="18"/>
              </w:rPr>
              <w:t>2</w:t>
            </w:r>
          </w:p>
        </w:tc>
        <w:tc>
          <w:tcPr>
            <w:tcW w:type="dxa" w:w="5328"/>
            <w:vAlign w:val="center"/>
            <w:shd w:fill="F5F8FC"/>
          </w:tcPr>
          <w:p>
            <w:r/>
            <w:r>
              <w:rPr>
                <w:rFonts w:ascii="Aptos" w:hAnsi="Aptos"/>
                <w:b w:val="0"/>
                <w:sz w:val="18"/>
              </w:rPr>
              <w:t>Career Technology</w:t>
            </w:r>
          </w:p>
        </w:tc>
        <w:tc>
          <w:tcPr>
            <w:tcW w:type="dxa" w:w="2160"/>
            <w:vAlign w:val="center"/>
            <w:shd w:fill="F5F8FC"/>
          </w:tcPr>
          <w:p>
            <w:r/>
            <w:r>
              <w:rPr>
                <w:rFonts w:ascii="Aptos" w:hAnsi="Aptos"/>
                <w:b w:val="0"/>
                <w:sz w:val="18"/>
              </w:rPr>
              <w:t>57.37</w:t>
            </w:r>
          </w:p>
        </w:tc>
      </w:tr>
      <w:tr>
        <w:trPr>
          <w:cantSplit/>
        </w:trPr>
        <w:tc>
          <w:tcPr>
            <w:tcW w:type="dxa" w:w="1152"/>
            <w:vAlign w:val="center"/>
          </w:tcPr>
          <w:p>
            <w:r/>
            <w:r>
              <w:rPr>
                <w:rFonts w:ascii="Aptos" w:hAnsi="Aptos"/>
                <w:b w:val="0"/>
                <w:sz w:val="18"/>
              </w:rPr>
              <w:t>3</w:t>
            </w:r>
          </w:p>
        </w:tc>
        <w:tc>
          <w:tcPr>
            <w:tcW w:type="dxa" w:w="5328"/>
            <w:vAlign w:val="center"/>
          </w:tcPr>
          <w:p>
            <w:r/>
            <w:r>
              <w:rPr>
                <w:rFonts w:ascii="Aptos" w:hAnsi="Aptos"/>
                <w:b w:val="0"/>
                <w:sz w:val="18"/>
              </w:rPr>
              <w:t>French</w:t>
            </w:r>
          </w:p>
        </w:tc>
        <w:tc>
          <w:tcPr>
            <w:tcW w:type="dxa" w:w="2160"/>
            <w:vAlign w:val="center"/>
          </w:tcPr>
          <w:p>
            <w:r/>
            <w:r>
              <w:rPr>
                <w:rFonts w:ascii="Aptos" w:hAnsi="Aptos"/>
                <w:b w:val="0"/>
                <w:sz w:val="18"/>
              </w:rPr>
              <w:t>57.72</w:t>
            </w:r>
          </w:p>
        </w:tc>
      </w:tr>
      <w:tr>
        <w:trPr>
          <w:cantSplit/>
        </w:trPr>
        <w:tc>
          <w:tcPr>
            <w:tcW w:type="dxa" w:w="1152"/>
            <w:vAlign w:val="center"/>
            <w:shd w:fill="F5F8FC"/>
          </w:tcPr>
          <w:p>
            <w:r/>
            <w:r>
              <w:rPr>
                <w:rFonts w:ascii="Aptos" w:hAnsi="Aptos"/>
                <w:b w:val="0"/>
                <w:sz w:val="18"/>
              </w:rPr>
              <w:t>4</w:t>
            </w:r>
          </w:p>
        </w:tc>
        <w:tc>
          <w:tcPr>
            <w:tcW w:type="dxa" w:w="5328"/>
            <w:vAlign w:val="center"/>
            <w:shd w:fill="F5F8FC"/>
          </w:tcPr>
          <w:p>
            <w:r/>
            <w:r>
              <w:rPr>
                <w:rFonts w:ascii="Aptos" w:hAnsi="Aptos"/>
                <w:b w:val="0"/>
                <w:sz w:val="18"/>
              </w:rPr>
              <w:t>Religious &amp; Moral Education</w:t>
            </w:r>
          </w:p>
        </w:tc>
        <w:tc>
          <w:tcPr>
            <w:tcW w:type="dxa" w:w="2160"/>
            <w:vAlign w:val="center"/>
            <w:shd w:fill="F5F8FC"/>
          </w:tcPr>
          <w:p>
            <w:r/>
            <w:r>
              <w:rPr>
                <w:rFonts w:ascii="Aptos" w:hAnsi="Aptos"/>
                <w:b w:val="0"/>
                <w:sz w:val="18"/>
              </w:rPr>
              <w:t>57.79</w:t>
            </w:r>
          </w:p>
        </w:tc>
      </w:tr>
      <w:tr>
        <w:trPr>
          <w:cantSplit/>
        </w:trPr>
        <w:tc>
          <w:tcPr>
            <w:tcW w:type="dxa" w:w="1152"/>
            <w:vAlign w:val="center"/>
          </w:tcPr>
          <w:p>
            <w:r/>
            <w:r>
              <w:rPr>
                <w:rFonts w:ascii="Aptos" w:hAnsi="Aptos"/>
                <w:b w:val="0"/>
                <w:sz w:val="18"/>
              </w:rPr>
              <w:t>5</w:t>
            </w:r>
          </w:p>
        </w:tc>
        <w:tc>
          <w:tcPr>
            <w:tcW w:type="dxa" w:w="5328"/>
            <w:vAlign w:val="center"/>
          </w:tcPr>
          <w:p>
            <w:r/>
            <w:r>
              <w:rPr>
                <w:rFonts w:ascii="Aptos" w:hAnsi="Aptos"/>
                <w:b w:val="0"/>
                <w:sz w:val="18"/>
              </w:rPr>
              <w:t>Ghanaian Language</w:t>
            </w:r>
          </w:p>
        </w:tc>
        <w:tc>
          <w:tcPr>
            <w:tcW w:type="dxa" w:w="2160"/>
            <w:vAlign w:val="center"/>
          </w:tcPr>
          <w:p>
            <w:r/>
            <w:r>
              <w:rPr>
                <w:rFonts w:ascii="Aptos" w:hAnsi="Aptos"/>
                <w:b w:val="0"/>
                <w:sz w:val="18"/>
              </w:rPr>
              <w:t>57.79</w:t>
            </w:r>
          </w:p>
        </w:tc>
      </w:tr>
    </w:tbl>
    <w:p/>
    <w:tbl>
      <w:tblPr>
        <w:tblW w:type="auto" w:w="0"/>
        <w:jc w:val="center"/>
        <w:tblLook w:firstColumn="1" w:firstRow="1" w:lastColumn="0" w:lastRow="0" w:noHBand="0" w:noVBand="1" w:val="04A0"/>
      </w:tblPr>
      <w:tblGrid>
        <w:gridCol w:w="10224"/>
      </w:tblGrid>
      <w:tr>
        <w:trPr>
          <w:cantSplit/>
        </w:trPr>
        <w:tc>
          <w:tcPr>
            <w:tcW w:type="dxa" w:w="10224"/>
            <w:shd w:fill="EAF2F8"/>
            <w:tcBorders>
              <w:left w:val="single" w:sz="18" w:color="1F4E78"/>
            </w:tcBorders>
          </w:tcPr>
          <w:p>
            <w:r>
              <w:rPr>
                <w:b/>
                <w:color w:val="1F4E78"/>
                <w:sz w:val="22"/>
              </w:rPr>
              <w:t>Interpretation</w:t>
              <w:br/>
            </w:r>
            <w:r>
              <w:rPr>
                <w:sz w:val="20"/>
              </w:rPr>
              <w:t>Integrated Science currently has the lowest average valid score. However, subject averages are close together, so the final presentation should avoid overstating the differences.</w:t>
            </w:r>
          </w:p>
        </w:tc>
      </w:tr>
    </w:tbl>
    <w:p/>
    <w:p>
      <w:pPr>
        <w:pStyle w:val="Heading2"/>
      </w:pPr>
      <w:r>
        <w:t>6.2 Attendance and Score Across Terms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016"/>
            <w:vAlign w:val="center"/>
            <w:shd w:fill="1F4E78"/>
          </w:tcPr>
          <w:p>
            <w:r/>
            <w:r>
              <w:rPr>
                <w:rFonts w:ascii="Aptos" w:hAnsi="Aptos"/>
                <w:b/>
                <w:color w:val="FFFFFF"/>
                <w:sz w:val="19"/>
              </w:rPr>
              <w:t>Term</w:t>
            </w:r>
          </w:p>
        </w:tc>
        <w:tc>
          <w:tcPr>
            <w:tcW w:type="dxa" w:w="2160"/>
            <w:vAlign w:val="center"/>
            <w:shd w:fill="1F4E78"/>
          </w:tcPr>
          <w:p>
            <w:r/>
            <w:r>
              <w:rPr>
                <w:rFonts w:ascii="Aptos" w:hAnsi="Aptos"/>
                <w:b/>
                <w:color w:val="FFFFFF"/>
                <w:sz w:val="19"/>
              </w:rPr>
              <w:t>Avg. Score</w:t>
            </w:r>
          </w:p>
        </w:tc>
        <w:tc>
          <w:tcPr>
            <w:tcW w:type="dxa" w:w="2592"/>
            <w:vAlign w:val="center"/>
            <w:shd w:fill="1F4E78"/>
          </w:tcPr>
          <w:p>
            <w:r/>
            <w:r>
              <w:rPr>
                <w:rFonts w:ascii="Aptos" w:hAnsi="Aptos"/>
                <w:b/>
                <w:color w:val="FFFFFF"/>
                <w:sz w:val="19"/>
              </w:rPr>
              <w:t>Avg. Attendance</w:t>
            </w:r>
          </w:p>
        </w:tc>
        <w:tc>
          <w:tcPr>
            <w:tcW w:type="dxa" w:w="2160"/>
            <w:vAlign w:val="center"/>
            <w:shd w:fill="1F4E78"/>
          </w:tcPr>
          <w:p>
            <w:r/>
            <w:r>
              <w:rPr>
                <w:rFonts w:ascii="Aptos" w:hAnsi="Aptos"/>
                <w:b/>
                <w:color w:val="FFFFFF"/>
                <w:sz w:val="19"/>
              </w:rPr>
              <w:t>Correlation</w:t>
            </w:r>
          </w:p>
        </w:tc>
      </w:tr>
      <w:tr>
        <w:trPr>
          <w:cantSplit/>
        </w:trPr>
        <w:tc>
          <w:tcPr>
            <w:tcW w:type="dxa" w:w="2016"/>
            <w:vAlign w:val="center"/>
          </w:tcPr>
          <w:p>
            <w:r/>
            <w:r>
              <w:rPr>
                <w:rFonts w:ascii="Aptos" w:hAnsi="Aptos"/>
                <w:b w:val="0"/>
                <w:sz w:val="18"/>
              </w:rPr>
              <w:t>Term 1</w:t>
            </w:r>
          </w:p>
        </w:tc>
        <w:tc>
          <w:tcPr>
            <w:tcW w:type="dxa" w:w="2160"/>
            <w:vAlign w:val="center"/>
          </w:tcPr>
          <w:p>
            <w:r/>
            <w:r>
              <w:rPr>
                <w:rFonts w:ascii="Aptos" w:hAnsi="Aptos"/>
                <w:b w:val="0"/>
                <w:sz w:val="18"/>
              </w:rPr>
              <w:t>57.81</w:t>
            </w:r>
          </w:p>
        </w:tc>
        <w:tc>
          <w:tcPr>
            <w:tcW w:type="dxa" w:w="2592"/>
            <w:vAlign w:val="center"/>
          </w:tcPr>
          <w:p>
            <w:r/>
            <w:r>
              <w:rPr>
                <w:rFonts w:ascii="Aptos" w:hAnsi="Aptos"/>
                <w:b w:val="0"/>
                <w:sz w:val="18"/>
              </w:rPr>
              <w:t>86.37%</w:t>
            </w:r>
          </w:p>
        </w:tc>
        <w:tc>
          <w:tcPr>
            <w:tcW w:type="dxa" w:w="2160"/>
            <w:vAlign w:val="center"/>
          </w:tcPr>
          <w:p>
            <w:r/>
            <w:r>
              <w:rPr>
                <w:rFonts w:ascii="Aptos" w:hAnsi="Aptos"/>
                <w:b w:val="0"/>
                <w:sz w:val="18"/>
              </w:rPr>
              <w:t>-0.009</w:t>
            </w:r>
          </w:p>
        </w:tc>
      </w:tr>
      <w:tr>
        <w:trPr>
          <w:cantSplit/>
        </w:trPr>
        <w:tc>
          <w:tcPr>
            <w:tcW w:type="dxa" w:w="2016"/>
            <w:vAlign w:val="center"/>
            <w:shd w:fill="F5F8FC"/>
          </w:tcPr>
          <w:p>
            <w:r/>
            <w:r>
              <w:rPr>
                <w:rFonts w:ascii="Aptos" w:hAnsi="Aptos"/>
                <w:b w:val="0"/>
                <w:sz w:val="18"/>
              </w:rPr>
              <w:t>Term 2</w:t>
            </w:r>
          </w:p>
        </w:tc>
        <w:tc>
          <w:tcPr>
            <w:tcW w:type="dxa" w:w="2160"/>
            <w:vAlign w:val="center"/>
            <w:shd w:fill="F5F8FC"/>
          </w:tcPr>
          <w:p>
            <w:r/>
            <w:r>
              <w:rPr>
                <w:rFonts w:ascii="Aptos" w:hAnsi="Aptos"/>
                <w:b w:val="0"/>
                <w:sz w:val="18"/>
              </w:rPr>
              <w:t>57.99</w:t>
            </w:r>
          </w:p>
        </w:tc>
        <w:tc>
          <w:tcPr>
            <w:tcW w:type="dxa" w:w="2592"/>
            <w:vAlign w:val="center"/>
            <w:shd w:fill="F5F8FC"/>
          </w:tcPr>
          <w:p>
            <w:r/>
            <w:r>
              <w:rPr>
                <w:rFonts w:ascii="Aptos" w:hAnsi="Aptos"/>
                <w:b w:val="0"/>
                <w:sz w:val="18"/>
              </w:rPr>
              <w:t>86.37%</w:t>
            </w:r>
          </w:p>
        </w:tc>
        <w:tc>
          <w:tcPr>
            <w:tcW w:type="dxa" w:w="2160"/>
            <w:vAlign w:val="center"/>
            <w:shd w:fill="F5F8FC"/>
          </w:tcPr>
          <w:p>
            <w:r/>
            <w:r>
              <w:rPr>
                <w:rFonts w:ascii="Aptos" w:hAnsi="Aptos"/>
                <w:b w:val="0"/>
                <w:sz w:val="18"/>
              </w:rPr>
              <w:t>0.002</w:t>
            </w:r>
          </w:p>
        </w:tc>
      </w:tr>
      <w:tr>
        <w:trPr>
          <w:cantSplit/>
        </w:trPr>
        <w:tc>
          <w:tcPr>
            <w:tcW w:type="dxa" w:w="2016"/>
            <w:vAlign w:val="center"/>
          </w:tcPr>
          <w:p>
            <w:r/>
            <w:r>
              <w:rPr>
                <w:rFonts w:ascii="Aptos" w:hAnsi="Aptos"/>
                <w:b w:val="0"/>
                <w:sz w:val="18"/>
              </w:rPr>
              <w:t>Term 3</w:t>
            </w:r>
          </w:p>
        </w:tc>
        <w:tc>
          <w:tcPr>
            <w:tcW w:type="dxa" w:w="2160"/>
            <w:vAlign w:val="center"/>
          </w:tcPr>
          <w:p>
            <w:r/>
            <w:r>
              <w:rPr>
                <w:rFonts w:ascii="Aptos" w:hAnsi="Aptos"/>
                <w:b w:val="0"/>
                <w:sz w:val="18"/>
              </w:rPr>
              <w:t>57.81</w:t>
            </w:r>
          </w:p>
        </w:tc>
        <w:tc>
          <w:tcPr>
            <w:tcW w:type="dxa" w:w="2592"/>
            <w:vAlign w:val="center"/>
          </w:tcPr>
          <w:p>
            <w:r/>
            <w:r>
              <w:rPr>
                <w:rFonts w:ascii="Aptos" w:hAnsi="Aptos"/>
                <w:b w:val="0"/>
                <w:sz w:val="18"/>
              </w:rPr>
              <w:t>86.26%</w:t>
            </w:r>
          </w:p>
        </w:tc>
        <w:tc>
          <w:tcPr>
            <w:tcW w:type="dxa" w:w="2160"/>
            <w:vAlign w:val="center"/>
          </w:tcPr>
          <w:p>
            <w:r/>
            <w:r>
              <w:rPr>
                <w:rFonts w:ascii="Aptos" w:hAnsi="Aptos"/>
                <w:b w:val="0"/>
                <w:sz w:val="18"/>
              </w:rPr>
              <w:t>0.000</w:t>
            </w:r>
          </w:p>
        </w:tc>
      </w:tr>
    </w:tbl>
    <w:p/>
    <w:tbl>
      <w:tblPr>
        <w:tblW w:type="auto" w:w="0"/>
        <w:jc w:val="center"/>
        <w:tblLook w:firstColumn="1" w:firstRow="1" w:lastColumn="0" w:lastRow="0" w:noHBand="0" w:noVBand="1" w:val="04A0"/>
      </w:tblPr>
      <w:tblGrid>
        <w:gridCol w:w="10224"/>
      </w:tblGrid>
      <w:tr>
        <w:trPr>
          <w:cantSplit/>
        </w:trPr>
        <w:tc>
          <w:tcPr>
            <w:tcW w:type="dxa" w:w="10224"/>
            <w:shd w:fill="F3F6FA"/>
            <w:tcBorders>
              <w:left w:val="single" w:sz="18" w:color="1F4E78"/>
            </w:tcBorders>
          </w:tcPr>
          <w:p>
            <w:r>
              <w:rPr>
                <w:b/>
                <w:color w:val="1F4E78"/>
                <w:sz w:val="22"/>
              </w:rPr>
              <w:t>Interpretation</w:t>
              <w:br/>
            </w:r>
            <w:r>
              <w:rPr>
                <w:sz w:val="20"/>
              </w:rPr>
              <w:t>The raw data shows virtually no linear relationship between attendance percentage and exam score across the three terms. This is a relationship finding only; it does not establish causation.</w:t>
            </w:r>
          </w:p>
        </w:tc>
      </w:tr>
    </w:tbl>
    <w:p/>
    <w:p>
      <w:pPr>
        <w:pStyle w:val="Heading1"/>
      </w:pPr>
      <w:r>
        <w:t>7. Week 3 Cleaning Priorities</w:t>
      </w:r>
    </w:p>
    <w:p>
      <w:pPr>
        <w:pStyle w:val="ListNumber"/>
      </w:pPr>
      <w:r>
        <w:t>Convert exam_date and enrolled_date to true date fields.</w:t>
      </w:r>
    </w:p>
    <w:p>
      <w:pPr>
        <w:pStyle w:val="ListNumber"/>
      </w:pPr>
      <w:r>
        <w:t>Standardize term, sex, and region labels.</w:t>
      </w:r>
    </w:p>
    <w:p>
      <w:pPr>
        <w:pStyle w:val="ListNumber"/>
      </w:pPr>
      <w:r>
        <w:t>Handle 1,507 missing scores using a documented rule.</w:t>
      </w:r>
    </w:p>
    <w:p>
      <w:pPr>
        <w:pStyle w:val="ListNumber"/>
      </w:pPr>
      <w:r>
        <w:t>Flag or remove 55 invalid score values outside 0–100.</w:t>
      </w:r>
    </w:p>
    <w:p>
      <w:pPr>
        <w:pStyle w:val="ListNumber"/>
      </w:pPr>
      <w:r>
        <w:t>Remove 120 extra duplicate result rows.</w:t>
      </w:r>
    </w:p>
    <w:p>
      <w:pPr>
        <w:pStyle w:val="ListNumber"/>
      </w:pPr>
      <w:r>
        <w:t>Investigate 76 orphan student references.</w:t>
      </w:r>
    </w:p>
    <w:p>
      <w:pPr>
        <w:pStyle w:val="ListNumber"/>
      </w:pPr>
      <w:r>
        <w:t>Handle 84 missing region values appropriately.</w:t>
      </w:r>
    </w:p>
    <w:p>
      <w:pPr>
        <w:pStyle w:val="ListNumber"/>
      </w:pPr>
      <w:r>
        <w:t>Re-run all validation checks after cleaning.</w:t>
      </w:r>
    </w:p>
    <w:p>
      <w:pPr>
        <w:pStyle w:val="ListNumber"/>
      </w:pPr>
      <w:r>
        <w:t>Write cleaned tables to the group3a schema.</w:t>
      </w:r>
    </w:p>
    <w:p>
      <w:pPr>
        <w:pStyle w:val="ListNumber"/>
      </w:pPr>
      <w:r>
        <w:t>Re-run the core analysis using cleaned data.</w:t>
      </w:r>
    </w:p>
    <w:p>
      <w:pPr>
        <w:pStyle w:val="Heading1"/>
      </w:pPr>
      <w:r>
        <w:t>8. Conclusion</w:t>
      </w:r>
    </w:p>
    <w:p>
      <w:pPr>
        <w:jc w:val="both"/>
      </w:pPr>
      <w:r>
        <w:t>The profiling stage confirmed that the school dataset contains meaningful quality issues that could distort the final analysis if left untreated. The next phase should focus on producing cleaned, validated tables that can support a reliable star schema and a clear dashboard for the head teacher. All current performance findings should remain labelled as preliminary until they are reproduced using the cleaned data.</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Group 3a — School Results Analysis | Week 2 Data Quality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