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F7ACD" w14:textId="41E2079C" w:rsidR="00B404E3" w:rsidRPr="00B404E3" w:rsidRDefault="00B404E3" w:rsidP="00B404E3">
      <w:pPr>
        <w:jc w:val="center"/>
        <w:rPr>
          <w:rFonts w:ascii="Segoe UI Emoji" w:hAnsi="Segoe UI Emoji" w:cs="Segoe UI Emoji"/>
          <w:b/>
          <w:bCs/>
          <w:sz w:val="36"/>
          <w:szCs w:val="36"/>
        </w:rPr>
      </w:pPr>
      <w:r w:rsidRPr="00B404E3">
        <w:rPr>
          <w:rFonts w:ascii="Segoe UI Emoji" w:hAnsi="Segoe UI Emoji" w:cs="Segoe UI Emoji"/>
          <w:b/>
          <w:bCs/>
          <w:sz w:val="36"/>
          <w:szCs w:val="36"/>
        </w:rPr>
        <w:t>Insurance Project for Sure Life Insurance</w:t>
      </w:r>
    </w:p>
    <w:p w14:paraId="7ACD6AD9" w14:textId="1ACA3A68" w:rsidR="00B404E3" w:rsidRPr="00B404E3" w:rsidRDefault="00B404E3" w:rsidP="00B404E3">
      <w:pPr>
        <w:rPr>
          <w:b/>
          <w:bCs/>
        </w:rPr>
      </w:pPr>
      <w:r w:rsidRPr="00B404E3">
        <w:rPr>
          <w:b/>
          <w:bCs/>
        </w:rPr>
        <w:t>Company Description</w:t>
      </w:r>
    </w:p>
    <w:p w14:paraId="3588FB0C" w14:textId="77777777" w:rsidR="00B404E3" w:rsidRPr="00B404E3" w:rsidRDefault="00B404E3" w:rsidP="00B404E3">
      <w:proofErr w:type="spellStart"/>
      <w:r w:rsidRPr="00B404E3">
        <w:rPr>
          <w:b/>
          <w:bCs/>
        </w:rPr>
        <w:t>SureLife</w:t>
      </w:r>
      <w:proofErr w:type="spellEnd"/>
      <w:r w:rsidRPr="00B404E3">
        <w:rPr>
          <w:b/>
          <w:bCs/>
        </w:rPr>
        <w:t xml:space="preserve"> Insurance</w:t>
      </w:r>
      <w:r w:rsidRPr="00B404E3">
        <w:t xml:space="preserve"> is a mid-sized, multi-regional insurance provider operating across the Midwest, Northeast, South, and West regions of the United States. The company offers </w:t>
      </w:r>
      <w:r w:rsidRPr="00B404E3">
        <w:rPr>
          <w:b/>
          <w:bCs/>
        </w:rPr>
        <w:t>Basic, Standard, and Premium</w:t>
      </w:r>
      <w:r w:rsidRPr="00B404E3">
        <w:t xml:space="preserve"> insurance products to a diverse customer base of </w:t>
      </w:r>
      <w:r w:rsidRPr="00B404E3">
        <w:rPr>
          <w:b/>
          <w:bCs/>
        </w:rPr>
        <w:t>15,000 policyholders</w:t>
      </w:r>
      <w:r w:rsidRPr="00B404E3">
        <w:t xml:space="preserve">. </w:t>
      </w:r>
      <w:proofErr w:type="spellStart"/>
      <w:r w:rsidRPr="00B404E3">
        <w:t>SureLife</w:t>
      </w:r>
      <w:proofErr w:type="spellEnd"/>
      <w:r w:rsidRPr="00B404E3">
        <w:t xml:space="preserve"> serves customers across multiple age groups, income segments, and risk profiles, with a growing focus on data-driven decision-making to improve profitability, customer retention, and risk management.</w:t>
      </w:r>
    </w:p>
    <w:p w14:paraId="6313CAB5" w14:textId="77777777" w:rsidR="00B404E3" w:rsidRPr="00B404E3" w:rsidRDefault="00B404E3" w:rsidP="00B404E3">
      <w:r w:rsidRPr="00B404E3">
        <w:t xml:space="preserve">With total annual revenue of </w:t>
      </w:r>
      <w:r w:rsidRPr="00B404E3">
        <w:rPr>
          <w:b/>
          <w:bCs/>
        </w:rPr>
        <w:t>$20.09 million</w:t>
      </w:r>
      <w:r w:rsidRPr="00B404E3">
        <w:t xml:space="preserve">, an estimated </w:t>
      </w:r>
      <w:r w:rsidRPr="00B404E3">
        <w:rPr>
          <w:b/>
          <w:bCs/>
        </w:rPr>
        <w:t>Customer Lifetime Value (CLV) of $291.33 million</w:t>
      </w:r>
      <w:r w:rsidRPr="00B404E3">
        <w:t xml:space="preserve">, and a relatively low </w:t>
      </w:r>
      <w:r w:rsidRPr="00B404E3">
        <w:rPr>
          <w:b/>
          <w:bCs/>
        </w:rPr>
        <w:t>loss ratio of 12.58%</w:t>
      </w:r>
      <w:r w:rsidRPr="00B404E3">
        <w:t>, the company is financially stable but faces challenges in optimizing product mix, pricing strategy, and customer segmentation. Variations in claim rates, risk scores, policy tenure, and income-based behavior highlight the need for deeper analytical insights.</w:t>
      </w:r>
    </w:p>
    <w:p w14:paraId="0954694F" w14:textId="77777777" w:rsidR="00B404E3" w:rsidRPr="00B404E3" w:rsidRDefault="00B404E3" w:rsidP="00B404E3">
      <w:r w:rsidRPr="00B404E3">
        <w:pict w14:anchorId="4BC25F43">
          <v:rect id="_x0000_i1031" style="width:0;height:1.5pt" o:hralign="center" o:hrstd="t" o:hr="t" fillcolor="#a0a0a0" stroked="f"/>
        </w:pict>
      </w:r>
    </w:p>
    <w:p w14:paraId="0658B03A" w14:textId="04CBC2D8" w:rsidR="00B404E3" w:rsidRPr="00B404E3" w:rsidRDefault="00B404E3" w:rsidP="00B404E3">
      <w:pPr>
        <w:rPr>
          <w:b/>
          <w:bCs/>
        </w:rPr>
      </w:pPr>
      <w:r w:rsidRPr="00B404E3">
        <w:rPr>
          <w:b/>
          <w:bCs/>
        </w:rPr>
        <w:t xml:space="preserve">Problem Statement </w:t>
      </w:r>
    </w:p>
    <w:p w14:paraId="136D6136" w14:textId="77777777" w:rsidR="00B404E3" w:rsidRPr="00B404E3" w:rsidRDefault="00B404E3" w:rsidP="00B404E3">
      <w:proofErr w:type="spellStart"/>
      <w:r w:rsidRPr="00B404E3">
        <w:t>SureLife</w:t>
      </w:r>
      <w:proofErr w:type="spellEnd"/>
      <w:r w:rsidRPr="00B404E3">
        <w:t xml:space="preserve"> Insurance aims to enhance its overall profitability and long-term customer value by optimizing risk management and customer segmentation strategies. Despite a healthy revenue base and controlled loss ratio, the dashboard reveals notable differences in customer behavior across age groups, income segments, and demographic profiles. Higher-income customers exhibit elevated risk scores, while lower-income and younger segments show shorter policy tenures, potentially impacting retention and lifetime value. Additionally, claim rates and smoking behavior introduce further risk variability that may not be fully reflected in current pricing and underwriting models.</w:t>
      </w:r>
    </w:p>
    <w:p w14:paraId="66371AAC" w14:textId="77777777" w:rsidR="00B404E3" w:rsidRPr="00B404E3" w:rsidRDefault="00B404E3" w:rsidP="00B404E3">
      <w:r w:rsidRPr="00B404E3">
        <w:t xml:space="preserve">The key challenge is to </w:t>
      </w:r>
      <w:r w:rsidRPr="00B404E3">
        <w:rPr>
          <w:b/>
          <w:bCs/>
        </w:rPr>
        <w:t>identify high-value, low-risk customer segments</w:t>
      </w:r>
      <w:r w:rsidRPr="00B404E3">
        <w:t xml:space="preserve"> and align insurance products, pricing, and retention strategies accordingly. </w:t>
      </w:r>
      <w:proofErr w:type="spellStart"/>
      <w:r w:rsidRPr="00B404E3">
        <w:t>SureLife</w:t>
      </w:r>
      <w:proofErr w:type="spellEnd"/>
      <w:r w:rsidRPr="00B404E3">
        <w:t xml:space="preserve"> must determine which demographics contribute most to sustainable revenue growth, which segments pose higher claim risks, and how policy types perform across regions and income groups. By leveraging dashboard insights, the company seeks to improve targeted marketing, refine premium structures, reduce future claim exposure, and maximize customer lifetime value while maintaining a competitive market position.</w:t>
      </w:r>
    </w:p>
    <w:p w14:paraId="6940B29A" w14:textId="77777777" w:rsidR="00B404E3" w:rsidRDefault="00B404E3"/>
    <w:sectPr w:rsidR="00B40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4E3"/>
    <w:rsid w:val="00B404E3"/>
    <w:rsid w:val="00BB0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37794"/>
  <w15:chartTrackingRefBased/>
  <w15:docId w15:val="{9F303238-551E-4DC2-880B-9CCAE335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4E3"/>
    <w:rPr>
      <w:rFonts w:eastAsiaTheme="majorEastAsia" w:cstheme="majorBidi"/>
      <w:color w:val="272727" w:themeColor="text1" w:themeTint="D8"/>
    </w:rPr>
  </w:style>
  <w:style w:type="paragraph" w:styleId="Title">
    <w:name w:val="Title"/>
    <w:basedOn w:val="Normal"/>
    <w:next w:val="Normal"/>
    <w:link w:val="TitleChar"/>
    <w:uiPriority w:val="10"/>
    <w:qFormat/>
    <w:rsid w:val="00B40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4E3"/>
    <w:pPr>
      <w:spacing w:before="160"/>
      <w:jc w:val="center"/>
    </w:pPr>
    <w:rPr>
      <w:i/>
      <w:iCs/>
      <w:color w:val="404040" w:themeColor="text1" w:themeTint="BF"/>
    </w:rPr>
  </w:style>
  <w:style w:type="character" w:customStyle="1" w:styleId="QuoteChar">
    <w:name w:val="Quote Char"/>
    <w:basedOn w:val="DefaultParagraphFont"/>
    <w:link w:val="Quote"/>
    <w:uiPriority w:val="29"/>
    <w:rsid w:val="00B404E3"/>
    <w:rPr>
      <w:i/>
      <w:iCs/>
      <w:color w:val="404040" w:themeColor="text1" w:themeTint="BF"/>
    </w:rPr>
  </w:style>
  <w:style w:type="paragraph" w:styleId="ListParagraph">
    <w:name w:val="List Paragraph"/>
    <w:basedOn w:val="Normal"/>
    <w:uiPriority w:val="34"/>
    <w:qFormat/>
    <w:rsid w:val="00B404E3"/>
    <w:pPr>
      <w:ind w:left="720"/>
      <w:contextualSpacing/>
    </w:pPr>
  </w:style>
  <w:style w:type="character" w:styleId="IntenseEmphasis">
    <w:name w:val="Intense Emphasis"/>
    <w:basedOn w:val="DefaultParagraphFont"/>
    <w:uiPriority w:val="21"/>
    <w:qFormat/>
    <w:rsid w:val="00B404E3"/>
    <w:rPr>
      <w:i/>
      <w:iCs/>
      <w:color w:val="0F4761" w:themeColor="accent1" w:themeShade="BF"/>
    </w:rPr>
  </w:style>
  <w:style w:type="paragraph" w:styleId="IntenseQuote">
    <w:name w:val="Intense Quote"/>
    <w:basedOn w:val="Normal"/>
    <w:next w:val="Normal"/>
    <w:link w:val="IntenseQuoteChar"/>
    <w:uiPriority w:val="30"/>
    <w:qFormat/>
    <w:rsid w:val="00B40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4E3"/>
    <w:rPr>
      <w:i/>
      <w:iCs/>
      <w:color w:val="0F4761" w:themeColor="accent1" w:themeShade="BF"/>
    </w:rPr>
  </w:style>
  <w:style w:type="character" w:styleId="IntenseReference">
    <w:name w:val="Intense Reference"/>
    <w:basedOn w:val="DefaultParagraphFont"/>
    <w:uiPriority w:val="32"/>
    <w:qFormat/>
    <w:rsid w:val="00B40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2025-12-22T14:13:00Z</dcterms:created>
  <dcterms:modified xsi:type="dcterms:W3CDTF">2025-12-22T14:14:00Z</dcterms:modified>
</cp:coreProperties>
</file>