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2705"/>
        <w:gridCol w:w="398"/>
        <w:gridCol w:w="1856"/>
        <w:gridCol w:w="419"/>
        <w:gridCol w:w="833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i/>
                <w:color w:val="000000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51"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i/>
                <w:color w:val="000000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80"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i/>
                <w:color w:val="000000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108"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i/>
                <w:color w:val="000000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36"/>
                <w:szCs w:val="24"/>
                <w:lang w:val="en-GB" w:eastAsia="en-US" w:bidi="ar-SA"/>
              </w:rPr>
              <w:t>Mission</w:t>
            </w:r>
            <w:r>
              <w:rPr>
                <w:rFonts w:eastAsia="ＭＳ 明朝" w:cs="" w:ascii="Arial" w:hAnsi="Arial"/>
                <w:b/>
                <w:color w:val="000000"/>
                <w:kern w:val="0"/>
                <w:sz w:val="36"/>
                <w:szCs w:val="24"/>
                <w:lang w:val="en-GB" w:eastAsia="en-US" w:bidi="ar-SA"/>
              </w:rPr>
              <w:t xml:space="preserve"> Model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Otus-mlops-2025-09</w:t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Dmitriy Pnev</w:t>
            </w:r>
          </w:p>
        </w:tc>
        <w:tc>
          <w:tcPr>
            <w:tcW w:w="3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23,0</w:t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/10/2025</w:t>
            </w:r>
          </w:p>
        </w:tc>
        <w:tc>
          <w:tcPr>
            <w:tcW w:w="4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0.0.1</w:t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22"/>
                <w:szCs w:val="24"/>
                <w:lang w:val="en-GB" w:eastAsia="en-US" w:bidi="ar-SA"/>
              </w:rPr>
              <w:t>Key Partners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22"/>
                <w:szCs w:val="24"/>
                <w:lang w:val="en-GB" w:eastAsia="en-US" w:bidi="ar-SA"/>
              </w:rPr>
              <w:t>Key Activities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22"/>
                <w:szCs w:val="24"/>
                <w:lang w:val="en-GB" w:eastAsia="en-US" w:bidi="ar-SA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22"/>
                <w:szCs w:val="24"/>
                <w:lang w:val="en-GB" w:eastAsia="en-US" w:bidi="ar-SA"/>
              </w:rPr>
              <w:t>Customer Relationships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344" w:hRule="atLeast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/>
            </w:pPr>
            <w:r>
              <w:rPr>
                <w:rStyle w:val="Strong"/>
                <w:rFonts w:eastAsia="ＭＳ 明朝" w:cs="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Поставщики данных: </w:t>
            </w:r>
            <w:r>
              <w:rPr>
                <w:rStyle w:val="Strong"/>
                <w:rFonts w:eastAsia="ＭＳ 明朝" w:cs="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bCs w:val="false"/>
                <w:color w:val="000000"/>
                <w:kern w:val="0"/>
                <w:sz w:val="16"/>
                <w:szCs w:val="16"/>
                <w:lang w:val="en-GB" w:eastAsia="en-US" w:bidi="ar-SA"/>
              </w:rPr>
              <w:t>обучения модели</w:t>
            </w:r>
          </w:p>
          <w:p>
            <w:pPr>
              <w:pStyle w:val="BodyText"/>
              <w:widowControl/>
              <w:suppressAutoHyphens w:val="true"/>
              <w:spacing w:before="0" w:after="0"/>
              <w:jc w:val="left"/>
              <w:rPr>
                <w:rFonts w:ascii="Arial" w:hAnsi="Arial"/>
              </w:rPr>
            </w:pPr>
            <w:r>
              <w:rPr>
                <w:rStyle w:val="Strong"/>
                <w:rFonts w:eastAsia="ＭＳ 明朝" w:cs="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GB" w:eastAsia="en-US" w:bidi="ar-SA"/>
              </w:rPr>
              <w:t>Облачные провайдеры</w:t>
            </w:r>
            <w:r>
              <w:rPr>
                <w:rFonts w:eastAsia="ＭＳ 明朝" w:cs="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GB" w:eastAsia="en-US" w:bidi="ar-SA"/>
              </w:rPr>
              <w:t> (Yandex Cloud, AWS, Azure): для размещения инфраструктуры.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pBdr/>
              <w:spacing w:before="0" w:after="0"/>
              <w:ind w:hanging="0" w:left="0" w:right="0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Вендоры средств безопасности: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 для обеспечения защиты данных.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pBdr/>
              <w:suppressAutoHyphens w:val="true"/>
              <w:bidi w:val="0"/>
              <w:spacing w:before="0" w:after="0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GB" w:eastAsia="en-US" w:bidi="ar-SA"/>
              </w:rPr>
              <w:t>Команд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GB" w:eastAsia="en-US" w:bidi="ar-SA"/>
              </w:rPr>
              <w:t>ы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GB" w:eastAsia="en-US" w:bidi="ar-SA"/>
              </w:rPr>
              <w:t xml:space="preserve"> 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GB" w:eastAsia="en-US" w:bidi="ar-SA"/>
              </w:rPr>
              <w:t xml:space="preserve">поддержки интегрируемых сервисов: 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GB" w:eastAsia="en-US" w:bidi="ar-SA"/>
              </w:rPr>
              <w:t>при разработке интеграции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pBdr/>
              <w:suppressAutoHyphens w:val="true"/>
              <w:bidi w:val="0"/>
              <w:spacing w:before="0" w:after="0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Команда внешних консультантов (при необходимости)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: для аудита модели и архитектуры.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pBdr/>
              <w:spacing w:before="240" w:after="240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BodyText"/>
              <w:spacing w:before="0" w:after="140"/>
              <w:rPr>
                <w:rFonts w:ascii="Arial" w:hAnsi="Arial" w:eastAsia="ＭＳ 明朝" w:cs=""/>
                <w:kern w:val="0"/>
                <w:sz w:val="20"/>
                <w:szCs w:val="24"/>
                <w:lang w:val="en-GB" w:eastAsia="en-US" w:bidi="ar-SA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R&amp;D в области ML: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разработка, обучение и валидация моделей.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Разработка и интеграция ПО: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создание API-модуля, интеграция с платежной системой.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Р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абота с данными: 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ETL, обработка, обогащение, обеспечение конфиденциальности.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Мониторинг и поддержка: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отслеживание производительности, дрифта данных, переобучение модели.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Для банка:</w:t>
            </w:r>
          </w:p>
          <w:p>
            <w:pPr>
              <w:pStyle w:val="BodyText"/>
              <w:widowControl/>
              <w:numPr>
                <w:ilvl w:val="0"/>
                <w:numId w:val="4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Снижение финансовых потерь до ≤ 500 тыс. руб./мес.</w:t>
            </w:r>
          </w:p>
          <w:p>
            <w:pPr>
              <w:pStyle w:val="BodyText"/>
              <w:widowControl/>
              <w:numPr>
                <w:ilvl w:val="0"/>
                <w:numId w:val="4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Соответствие уровню конкурентов (≤2% пропущенных мошеннических операций).</w:t>
            </w:r>
          </w:p>
          <w:p>
            <w:pPr>
              <w:pStyle w:val="BodyText"/>
              <w:widowControl/>
              <w:numPr>
                <w:ilvl w:val="0"/>
                <w:numId w:val="4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Сохранение клиентской базы за счет низкого уровня ложных блокировок (&lt;5%).</w:t>
            </w:r>
          </w:p>
          <w:p>
            <w:pPr>
              <w:pStyle w:val="BodyText"/>
              <w:widowControl/>
              <w:numPr>
                <w:ilvl w:val="0"/>
                <w:numId w:val="4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Автоматизация процессов безопасности.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Для клиент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ов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банка:</w:t>
            </w:r>
          </w:p>
          <w:p>
            <w:pPr>
              <w:pStyle w:val="BodyText"/>
              <w:widowControl/>
              <w:numPr>
                <w:ilvl w:val="0"/>
                <w:numId w:val="5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Защита их денежных средств от мошенников.</w:t>
            </w:r>
          </w:p>
          <w:p>
            <w:pPr>
              <w:pStyle w:val="BodyText"/>
              <w:widowControl/>
              <w:numPr>
                <w:ilvl w:val="0"/>
                <w:numId w:val="5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Минимальное вмешательство в легитимные операции.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Тесное сотрудничество на проектной основе: 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регулярные совещания, демонстрации результатов.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Техническая поддержка и прозрачная отчетность: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по метрикам качества (FPR, F2-Score) и бизнеса (снижение ущерба).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</w:r>
          </w:p>
        </w:tc>
        <w:tc>
          <w:tcPr>
            <w:tcW w:w="3108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Ключевой заказчик: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Руководство и IT-департамент коммерческого банка.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Конечные пользователи: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Операторы и аналитики безопасности банка.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Косвенные потребители: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Клиенты банка, пользующиеся онлайн-платежами.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</w:tc>
      </w:tr>
      <w:tr>
        <w:trPr>
          <w:trHeight w:val="264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 w:eastAsia="ＭＳ 明朝" w:cs=""/>
                <w:b/>
                <w:kern w:val="0"/>
                <w:sz w:val="22"/>
                <w:szCs w:val="24"/>
                <w:lang w:val="en-GB" w:eastAsia="en-US" w:bidi="ar-SA"/>
              </w:rPr>
            </w:pPr>
            <w:r>
              <w:rPr>
                <w:color w:val="000000"/>
              </w:rPr>
            </w:r>
          </w:p>
        </w:tc>
        <w:tc>
          <w:tcPr>
            <w:tcW w:w="3096" w:type="dxa"/>
            <w:gridSpan w:val="4"/>
            <w:vMerge w:val="continue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8" w:type="dxa"/>
            <w:gridSpan w:val="3"/>
            <w:vMerge w:val="continue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2822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</w:tc>
        <w:tc>
          <w:tcPr>
            <w:tcW w:w="3096" w:type="dxa"/>
            <w:gridSpan w:val="4"/>
            <w:vMerge w:val="continue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right="-944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Прямые продажи: 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Внутренняя инициатива, исходящая от руководства банка.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Внедрение: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Прямая интеграция силами внутренней IT-команды банка и приглашенных специалистов.</w:t>
            </w:r>
          </w:p>
        </w:tc>
        <w:tc>
          <w:tcPr>
            <w:tcW w:w="3108" w:type="dxa"/>
            <w:gridSpan w:val="3"/>
            <w:vMerge w:val="continue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right="-944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color w:val="000000"/>
              </w:rPr>
            </w:pPr>
            <w:r>
              <w:rPr>
                <w:rFonts w:eastAsia="ＭＳ 明朝" w:cs="" w:ascii="Arial" w:hAnsi="Arial"/>
                <w:b/>
                <w:color w:val="000000"/>
                <w:kern w:val="0"/>
                <w:sz w:val="22"/>
                <w:szCs w:val="24"/>
                <w:lang w:val="en-GB" w:eastAsia="en-US" w:bidi="ar-SA"/>
              </w:rPr>
              <w:t>Revenue Streams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Основные затраты: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Облачная инфраструктура: ~5-7 млн руб. (вычисления, хранение, сетевой трафик).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ФОТ специалистов (Data Scientist, ML Engineer, DevOps).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>Лицензии на ПО (если используются коммерческие ML-библиотеки или системы мониторинга).</w:t>
            </w:r>
          </w:p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Бюджетное ограничение:</w:t>
            </w: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color w:val="000000"/>
                <w:kern w:val="0"/>
                <w:sz w:val="16"/>
                <w:szCs w:val="16"/>
                <w:lang w:val="en-GB" w:eastAsia="en-US" w:bidi="ar-SA"/>
              </w:rPr>
              <w:t xml:space="preserve"> 10 млн руб. (без учета ФОТ).</w:t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bCs/>
                <w:color w:val="000000"/>
                <w:kern w:val="0"/>
                <w:sz w:val="16"/>
                <w:szCs w:val="16"/>
                <w:lang w:val="en-GB" w:eastAsia="en-US" w:bidi="ar-SA"/>
              </w:rPr>
              <w:t>Для банка (источник экономии, а не прямого дохода):</w:t>
            </w:r>
          </w:p>
          <w:p>
            <w:pPr>
              <w:pStyle w:val="BodyText"/>
              <w:widowControl/>
              <w:numPr>
                <w:ilvl w:val="0"/>
                <w:numId w:val="3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b w:val="false"/>
                <w:bCs w:val="false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bCs w:val="false"/>
                <w:color w:val="000000"/>
                <w:kern w:val="0"/>
                <w:sz w:val="16"/>
                <w:szCs w:val="16"/>
                <w:lang w:val="en-GB" w:eastAsia="en-US" w:bidi="ar-SA"/>
              </w:rPr>
              <w:t>Сохраненные средства: Прямое предотвращение убытков от мошенничества.</w:t>
            </w:r>
          </w:p>
          <w:p>
            <w:pPr>
              <w:pStyle w:val="BodyText"/>
              <w:widowControl/>
              <w:numPr>
                <w:ilvl w:val="0"/>
                <w:numId w:val="3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b w:val="false"/>
                <w:bCs w:val="false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bCs w:val="false"/>
                <w:color w:val="000000"/>
                <w:kern w:val="0"/>
                <w:sz w:val="16"/>
                <w:szCs w:val="16"/>
                <w:lang w:val="en-GB" w:eastAsia="en-US" w:bidi="ar-SA"/>
              </w:rPr>
              <w:t>Сохраненная клиентская база: Удержание клиентов за счет высокого качества сервиса и безопасности.</w:t>
            </w:r>
          </w:p>
          <w:p>
            <w:pPr>
              <w:pStyle w:val="BodyText"/>
              <w:widowControl/>
              <w:numPr>
                <w:ilvl w:val="0"/>
                <w:numId w:val="3"/>
              </w:numPr>
              <w:suppressAutoHyphens w:val="true"/>
              <w:bidi w:val="0"/>
              <w:spacing w:before="0" w:after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 w:eastAsia="" w:cs="" w:cstheme="minorBidi" w:eastAsiaTheme="minorEastAsia"/>
                <w:b w:val="false"/>
                <w:bCs w:val="false"/>
                <w:color w:val="000000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" w:cs="" w:cstheme="minorBidi" w:eastAsiaTheme="minorEastAsia"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bCs w:val="false"/>
                <w:color w:val="000000"/>
                <w:kern w:val="0"/>
                <w:sz w:val="16"/>
                <w:szCs w:val="16"/>
                <w:lang w:val="en-GB" w:eastAsia="en-US" w:bidi="ar-SA"/>
              </w:rPr>
              <w:t>Экономия на операционных расходах: Снижение затрат на ручной анализ и расследование инцидентов.</w:t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/>
            </w:pPr>
            <w:r>
              <w:rPr>
                <w:rFonts w:eastAsia="ＭＳ 明朝" w:cs="" w:ascii="Arial" w:hAnsi="Arial"/>
                <w:color w:val="000000"/>
                <w:kern w:val="0"/>
                <w:sz w:val="16"/>
                <w:szCs w:val="24"/>
                <w:lang w:val="en-GB" w:eastAsia="en-US" w:bidi="ar-SA"/>
              </w:rPr>
              <w:t>Designed by: The Business Model Foundry (</w:t>
            </w:r>
            <w:hyperlink r:id="rId2">
              <w:r>
                <w:rPr>
                  <w:rStyle w:val="Hyperlink"/>
                  <w:rFonts w:eastAsia="ＭＳ 明朝" w:cs="" w:ascii="Arial" w:hAnsi="Arial"/>
                  <w:color w:val="000000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color w:val="000000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3">
              <w:r>
                <w:rPr>
                  <w:rStyle w:val="Hyperlink"/>
                  <w:rFonts w:eastAsia="ＭＳ 明朝" w:cs="" w:ascii="Arial" w:hAnsi="Arial"/>
                  <w:color w:val="000000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color w:val="000000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4">
              <w:r>
                <w:rPr>
                  <w:rStyle w:val="Hyperlink"/>
                  <w:rFonts w:eastAsia="ＭＳ 明朝" w:cs="" w:ascii="Arial" w:hAnsi="Arial"/>
                  <w:color w:val="000000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2705"/>
        <w:gridCol w:w="398"/>
        <w:gridCol w:w="1856"/>
        <w:gridCol w:w="419"/>
        <w:gridCol w:w="833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 w:ascii="Arial" w:hAnsi="Arial"/>
                <w:i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51" w:right="-944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 w:ascii="Arial" w:hAnsi="Arial"/>
                <w:i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80" w:right="-944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 w:ascii="Arial" w:hAnsi="Arial"/>
                <w:i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108" w:right="-944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 w:ascii="Arial" w:hAnsi="Arial"/>
                <w:i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Partners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Activities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Relationships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8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4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Resources</w:t>
            </w:r>
          </w:p>
        </w:tc>
        <w:tc>
          <w:tcPr>
            <w:tcW w:w="3096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8" w:type="dxa"/>
            <w:gridSpan w:val="3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822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096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8" w:type="dxa"/>
            <w:gridSpan w:val="3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Streams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Designed by: The Business Model Foundry (</w:t>
            </w:r>
            <w:hyperlink r:id="rId5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6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7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38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quote-cjk-patch">
    <w:altName w:val="Inter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shape_0" adj="10800" fillcolor="silver" stroked="f" o:allowincell="f" style="position:absolute;margin-left:0.05pt;margin-top:0pt;width:773pt;height:50.7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Business Model Canvas Word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6065" cy="17780"/>
              <wp:effectExtent l="8862695" t="3951605" r="0" b="0"/>
              <wp:wrapNone/>
              <wp:docPr id="2" name="PowerPlusWaterMarkObjec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40" cy="1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2"/>
                              <w:rFonts w:ascii="Cambria" w:hAnsi="Cambria" w:asciiTheme="minorHAnsi" w:cstheme="minorBidi" w:eastAsiaTheme="minorEastAsia" w:hAnsiTheme="minorHAnsi"/>
                              <w:color w:val="C0C0C0"/>
                              <w14:textFill>
                                <w14:solidFill>
                                  <w14:srgbClr w14:val="c0c0c0"/>
                                </w14:solidFill>
                              </w14:textFill>
                              <w14:textOutline w14:w="0" w14:cap="flat" w14:cmpd="sng">
                                <w14:noFill/>
                                <w14:round/>
                              </w14:textOutline>
                            </w:rPr>
                            <w:t>Neos Chronos Business Model Canvas Word</w:t>
                          </w:r>
                        </w:p>
                      </w:txbxContent>
                    </wps:txbx>
                    <wps:bodyPr wrap="square" lIns="0" rIns="0" tIns="0" bIns="0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6065" cy="17780"/>
              <wp:effectExtent l="7897495" t="3951605" r="0" b="0"/>
              <wp:wrapNone/>
              <wp:docPr id="3" name="PowerPlusWaterMarkObjec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40" cy="1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2"/>
                              <w:rFonts w:ascii="Cambria" w:hAnsi="Cambria" w:asciiTheme="minorHAnsi" w:cstheme="minorBidi" w:eastAsiaTheme="minorEastAsia" w:hAnsiTheme="minorHAnsi"/>
                              <w:color w:val="C0C0C0"/>
                              <w14:textFill>
                                <w14:solidFill>
                                  <w14:srgbClr w14:val="c0c0c0"/>
                                </w14:solidFill>
                              </w14:textFill>
                              <w14:textOutline w14:w="0" w14:cap="flat" w14:cmpd="sng">
                                <w14:noFill/>
                                <w14:round/>
                              </w14:textOutline>
                            </w:rPr>
                            <w:t>Neos Chronos Business Model Canvas Word</w:t>
                          </w:r>
                        </w:p>
                      </w:txbxContent>
                    </wps:txbx>
                    <wps:bodyPr wrap="square" lIns="0" rIns="0" tIns="0" bIns="0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316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uiPriority w:val="99"/>
    <w:qFormat/>
    <w:rsid w:val="00000413"/>
    <w:rPr/>
  </w:style>
  <w:style w:type="character" w:styleId="FooterChar" w:customStyle="1">
    <w:name w:val="Footer Char"/>
    <w:basedOn w:val="DefaultParagraphFont"/>
    <w:uiPriority w:val="99"/>
    <w:qFormat/>
    <w:rsid w:val="00000413"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LibreOffice/24.2.7.2$Linux_X86_64 LibreOffice_project/420$Build-2</Application>
  <HyperlinkBase>https://neoschronos.com/assets/</HyperlinkBase>
  <AppVersion>15.0000</AppVersion>
  <Pages>3</Pages>
  <Words>361</Words>
  <Characters>2651</Characters>
  <CharactersWithSpaces>2930</CharactersWithSpaces>
  <Paragraphs>69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2019-05-23T08:39:00Z</dcterms:created>
  <dc:creator>Thomas Papanikolaou</dc:creator>
  <dc:description>The Business Model Canvas (www.businessmodelgeneration.com/canvas) by Alex Osterwalder. This work is licensed under the Creative Commons Attribution-Share Alike 3.0 Unported License.</dc:description>
  <cp:keywords>Business Model Canvas Free Template Word docx</cp:keywords>
  <dc:language>ru-RU</dc:language>
  <cp:lastModifiedBy/>
  <cp:lastPrinted>2019-05-23T09:25:00Z</cp:lastPrinted>
  <dcterms:modified xsi:type="dcterms:W3CDTF">2025-10-23T23:00:54Z</dcterms:modified>
  <cp:revision>28</cp:revision>
  <dc:subject/>
  <dc:title>Business Model Canvas Template Word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Publisher">
    <vt:lpwstr>Neos Chronos</vt:lpwstr>
  </property>
  <property fmtid="{D5CDD505-2E9C-101B-9397-08002B2CF9AE}" pid="4" name="Purpose">
    <vt:lpwstr>Business Model Canvas Word Template</vt:lpwstr>
  </property>
</Properties>
</file>