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Name: Shriniketh Kana</w:t>
      </w:r>
    </w:p>
    <w:p>
      <w:r>
        <w:rPr>
          <w:b/>
        </w:rPr>
        <w:t>SRN: PES1UG24CS446</w:t>
      </w:r>
    </w:p>
    <w:p>
      <w:r>
        <w:rPr>
          <w:b/>
        </w:rPr>
        <w:t>Section: H</w:t>
      </w:r>
    </w:p>
    <w:p>
      <w:r>
        <w:rPr>
          <w:b/>
        </w:rPr>
        <w:t>Course: Software Engineering Lab 1</w:t>
      </w:r>
    </w:p>
    <w:p>
      <w:r>
        <w:rPr>
          <w:b/>
        </w:rPr>
        <w:t>Problem Statement #18: Clinical Trial Subject Recruitment Engine</w:t>
      </w:r>
    </w:p>
    <w:p/>
    <w:p>
      <w:r>
        <w:rPr>
          <w:b/>
          <w:sz w:val="26"/>
        </w:rPr>
        <w:t>Requirements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0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29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0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168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2304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1008"/>
          </w:tcPr>
          <w:p>
            <w:r>
              <w:t>FR-001</w:t>
            </w:r>
          </w:p>
        </w:tc>
        <w:tc>
          <w:tcPr>
            <w:tcW w:type="dxa" w:w="1296"/>
          </w:tcPr>
          <w:p>
            <w:r>
              <w:t>Functional</w:t>
            </w:r>
          </w:p>
        </w:tc>
        <w:tc>
          <w:tcPr>
            <w:tcW w:type="dxa" w:w="3456"/>
          </w:tcPr>
          <w:p>
            <w:r>
              <w:t>The system shall evaluate candidate survey responses against trial protocol inclusion and exclusion criteria and classify eligibility status.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3168"/>
          </w:tcPr>
          <w:p>
            <w:r>
              <w:t>Pass: ineligible candidate flagged with the specific failed criteria. Fail: candidate with an exclusion criterion marked eligible.</w:t>
            </w:r>
          </w:p>
        </w:tc>
        <w:tc>
          <w:tcPr>
            <w:tcW w:type="dxa" w:w="2304"/>
          </w:tcPr>
          <w:p>
            <w:r>
              <w:t>Core screening logic of the recruitment engine.</w:t>
            </w:r>
          </w:p>
        </w:tc>
      </w:tr>
      <w:tr>
        <w:tc>
          <w:tcPr>
            <w:tcW w:type="dxa" w:w="1008"/>
          </w:tcPr>
          <w:p>
            <w:r>
              <w:t>FR-002</w:t>
            </w:r>
          </w:p>
        </w:tc>
        <w:tc>
          <w:tcPr>
            <w:tcW w:type="dxa" w:w="1296"/>
          </w:tcPr>
          <w:p>
            <w:r>
              <w:t>Functional</w:t>
            </w:r>
          </w:p>
        </w:tc>
        <w:tc>
          <w:tcPr>
            <w:tcW w:type="dxa" w:w="3456"/>
          </w:tcPr>
          <w:p>
            <w:r>
              <w:t>The system shall allow a Trial Candidate to register an account and submit a pre-screening survey form.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3168"/>
          </w:tcPr>
          <w:p>
            <w:r>
              <w:t>A new candidate can sign up, log in and submit the survey. Submitted responses are stored and visible to the Clinical Researcher.</w:t>
            </w:r>
          </w:p>
        </w:tc>
        <w:tc>
          <w:tcPr>
            <w:tcW w:type="dxa" w:w="2304"/>
          </w:tcPr>
          <w:p>
            <w:r>
              <w:t>Needed to collect candidate data for eligibility checks.</w:t>
            </w:r>
          </w:p>
        </w:tc>
      </w:tr>
      <w:tr>
        <w:tc>
          <w:tcPr>
            <w:tcW w:type="dxa" w:w="1008"/>
          </w:tcPr>
          <w:p>
            <w:r>
              <w:t>FR-003</w:t>
            </w:r>
          </w:p>
        </w:tc>
        <w:tc>
          <w:tcPr>
            <w:tcW w:type="dxa" w:w="1296"/>
          </w:tcPr>
          <w:p>
            <w:r>
              <w:t>Functional</w:t>
            </w:r>
          </w:p>
        </w:tc>
        <w:tc>
          <w:tcPr>
            <w:tcW w:type="dxa" w:w="3456"/>
          </w:tcPr>
          <w:p>
            <w:r>
              <w:t>The system shall record informed consent from the Trial Candidate with a timestamp before any trial visit data is captured.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3168"/>
          </w:tcPr>
          <w:p>
            <w:r>
              <w:t>Consent is captured with a digital signature and timestamp. If consent is not given, the candidate cannot proceed to the visit stage.</w:t>
            </w:r>
          </w:p>
        </w:tc>
        <w:tc>
          <w:tcPr>
            <w:tcW w:type="dxa" w:w="2304"/>
          </w:tcPr>
          <w:p>
            <w:r>
              <w:t>Required for ethical and regulatory compliance.</w:t>
            </w:r>
          </w:p>
        </w:tc>
      </w:tr>
      <w:tr>
        <w:tc>
          <w:tcPr>
            <w:tcW w:type="dxa" w:w="1008"/>
          </w:tcPr>
          <w:p>
            <w:r>
              <w:t>FR-004</w:t>
            </w:r>
          </w:p>
        </w:tc>
        <w:tc>
          <w:tcPr>
            <w:tcW w:type="dxa" w:w="1296"/>
          </w:tcPr>
          <w:p>
            <w:r>
              <w:t>Functional</w:t>
            </w:r>
          </w:p>
        </w:tc>
        <w:tc>
          <w:tcPr>
            <w:tcW w:type="dxa" w:w="3456"/>
          </w:tcPr>
          <w:p>
            <w:r>
              <w:t>The system shall allow the Clinical Researcher to schedule study visits for each enrolled subject and log visit compliance.</w:t>
            </w:r>
          </w:p>
        </w:tc>
        <w:tc>
          <w:tcPr>
            <w:tcW w:type="dxa" w:w="1008"/>
          </w:tcPr>
          <w:p>
            <w:r>
              <w:t>Medium</w:t>
            </w:r>
          </w:p>
        </w:tc>
        <w:tc>
          <w:tcPr>
            <w:tcW w:type="dxa" w:w="3168"/>
          </w:tcPr>
          <w:p>
            <w:r>
              <w:t>Researcher can create, view and update visit entries. Each entry stores date, visit type and completion status.</w:t>
            </w:r>
          </w:p>
        </w:tc>
        <w:tc>
          <w:tcPr>
            <w:tcW w:type="dxa" w:w="2304"/>
          </w:tcPr>
          <w:p>
            <w:r>
              <w:t>Supports visit compliance tracking.</w:t>
            </w:r>
          </w:p>
        </w:tc>
      </w:tr>
      <w:tr>
        <w:tc>
          <w:tcPr>
            <w:tcW w:type="dxa" w:w="1008"/>
          </w:tcPr>
          <w:p>
            <w:r>
              <w:t>FR-005</w:t>
            </w:r>
          </w:p>
        </w:tc>
        <w:tc>
          <w:tcPr>
            <w:tcW w:type="dxa" w:w="1296"/>
          </w:tcPr>
          <w:p>
            <w:r>
              <w:t>Functional</w:t>
            </w:r>
          </w:p>
        </w:tc>
        <w:tc>
          <w:tcPr>
            <w:tcW w:type="dxa" w:w="3456"/>
          </w:tcPr>
          <w:p>
            <w:r>
              <w:t>The system shall generate a subject enrollment report that lists eligible candidates, consent status and visit completion.</w:t>
            </w:r>
          </w:p>
        </w:tc>
        <w:tc>
          <w:tcPr>
            <w:tcW w:type="dxa" w:w="1008"/>
          </w:tcPr>
          <w:p>
            <w:r>
              <w:t>Medium</w:t>
            </w:r>
          </w:p>
        </w:tc>
        <w:tc>
          <w:tcPr>
            <w:tcW w:type="dxa" w:w="3168"/>
          </w:tcPr>
          <w:p>
            <w:r>
              <w:t>Report can be exported as PDF or CSV and includes all three fields for every subject.</w:t>
            </w:r>
          </w:p>
        </w:tc>
        <w:tc>
          <w:tcPr>
            <w:tcW w:type="dxa" w:w="2304"/>
          </w:tcPr>
          <w:p>
            <w:r>
              <w:t>Gives the researcher a single view of trial progress.</w:t>
            </w:r>
          </w:p>
        </w:tc>
      </w:tr>
      <w:tr>
        <w:tc>
          <w:tcPr>
            <w:tcW w:type="dxa" w:w="1008"/>
          </w:tcPr>
          <w:p>
            <w:r>
              <w:t>NFR-001</w:t>
            </w:r>
          </w:p>
        </w:tc>
        <w:tc>
          <w:tcPr>
            <w:tcW w:type="dxa" w:w="1296"/>
          </w:tcPr>
          <w:p>
            <w:r>
              <w:t>Non-Functional</w:t>
            </w:r>
          </w:p>
        </w:tc>
        <w:tc>
          <w:tcPr>
            <w:tcW w:type="dxa" w:w="3456"/>
          </w:tcPr>
          <w:p>
            <w:r>
              <w:t>The recruitment database shall comply with 21 CFR Part 11 electronic record standards including cryptographic audit trails.</w:t>
            </w:r>
          </w:p>
        </w:tc>
        <w:tc>
          <w:tcPr>
            <w:tcW w:type="dxa" w:w="1008"/>
          </w:tcPr>
          <w:p>
            <w:r>
              <w:t>High</w:t>
            </w:r>
          </w:p>
        </w:tc>
        <w:tc>
          <w:tcPr>
            <w:tcW w:type="dxa" w:w="3168"/>
          </w:tcPr>
          <w:p>
            <w:r>
              <w:t>Benchmarking tests confirm target latency and security standards under simulated peak load. Audit log entries are hash chained.</w:t>
            </w:r>
          </w:p>
        </w:tc>
        <w:tc>
          <w:tcPr>
            <w:tcW w:type="dxa" w:w="2304"/>
          </w:tcPr>
          <w:p>
            <w:r>
              <w:t>Regulatory requirement for clinical data systems.</w:t>
            </w:r>
          </w:p>
        </w:tc>
      </w:tr>
      <w:tr>
        <w:tc>
          <w:tcPr>
            <w:tcW w:type="dxa" w:w="1008"/>
          </w:tcPr>
          <w:p>
            <w:r>
              <w:t>NFR-002</w:t>
            </w:r>
          </w:p>
        </w:tc>
        <w:tc>
          <w:tcPr>
            <w:tcW w:type="dxa" w:w="1296"/>
          </w:tcPr>
          <w:p>
            <w:r>
              <w:t>Non-Functional</w:t>
            </w:r>
          </w:p>
        </w:tc>
        <w:tc>
          <w:tcPr>
            <w:tcW w:type="dxa" w:w="3456"/>
          </w:tcPr>
          <w:p>
            <w:r>
              <w:t>The system shall respond to eligibility evaluation requests within 3 seconds for up to 200 concurrent users.</w:t>
            </w:r>
          </w:p>
        </w:tc>
        <w:tc>
          <w:tcPr>
            <w:tcW w:type="dxa" w:w="1008"/>
          </w:tcPr>
          <w:p>
            <w:r>
              <w:t>Medium</w:t>
            </w:r>
          </w:p>
        </w:tc>
        <w:tc>
          <w:tcPr>
            <w:tcW w:type="dxa" w:w="3168"/>
          </w:tcPr>
          <w:p>
            <w:r>
              <w:t>Load test with 200 concurrent users shows 95th percentile response time under 3 seconds.</w:t>
            </w:r>
          </w:p>
        </w:tc>
        <w:tc>
          <w:tcPr>
            <w:tcW w:type="dxa" w:w="2304"/>
          </w:tcPr>
          <w:p>
            <w:r>
              <w:t>Keeps the pre-screening flow usable during recruitment drives.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