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Users of the Drug Test Integration page experience usability and data access challenges that impede their ability to efficiently search, filter, and interpret drug test records. These challenges include:</w:t>
      </w:r>
    </w:p>
    <w:p>
      <w:pPr>
        <w:numPr>
          <w:ilvl w:val="0"/>
          <w:numId w:val="1001"/>
        </w:numPr>
        <w:pStyle w:val="Compact"/>
      </w:pPr>
      <w:r>
        <w:t xml:space="preserve">Inability to restrict search results by the user’s authorized county, leading to confusion and potential data exposure.</w:t>
      </w:r>
    </w:p>
    <w:p>
      <w:pPr>
        <w:numPr>
          <w:ilvl w:val="0"/>
          <w:numId w:val="1001"/>
        </w:numPr>
        <w:pStyle w:val="Compact"/>
      </w:pPr>
      <w:r>
        <w:t xml:space="preserve">Limitations in searching by a known Reference Number without specifying a record type, slowing down data retrieval during urgent workflows.</w:t>
      </w:r>
    </w:p>
    <w:p>
      <w:pPr>
        <w:numPr>
          <w:ilvl w:val="0"/>
          <w:numId w:val="1001"/>
        </w:numPr>
        <w:pStyle w:val="Compact"/>
      </w:pPr>
      <w:r>
        <w:t xml:space="preserve">Lack of visibility into when test records were received, making it difficult to track timeliness and troubleshoot integration issues.</w:t>
      </w:r>
    </w:p>
    <w:bookmarkStart w:id="20" w:name="solution-summary"/>
    <w:p>
      <w:pPr>
        <w:pStyle w:val="Heading2"/>
      </w:pPr>
      <w:r>
        <w:t xml:space="preserve">Solution Summary</w:t>
      </w:r>
    </w:p>
    <w:p>
      <w:pPr>
        <w:pStyle w:val="FirstParagraph"/>
      </w:pPr>
      <w:r>
        <w:t xml:space="preserve">The enhancements address these issues by:</w:t>
      </w:r>
    </w:p>
    <w:p>
      <w:pPr>
        <w:numPr>
          <w:ilvl w:val="0"/>
          <w:numId w:val="1002"/>
        </w:numPr>
        <w:pStyle w:val="Compact"/>
      </w:pPr>
      <w:r>
        <w:t xml:space="preserve">Restricting the</w:t>
      </w:r>
      <w:r>
        <w:t xml:space="preserve"> </w:t>
      </w:r>
      <w:r>
        <w:rPr>
          <w:bCs/>
          <w:b/>
        </w:rPr>
        <w:t xml:space="preserve">County dropdown</w:t>
      </w:r>
      <w:r>
        <w:t xml:space="preserve"> </w:t>
      </w:r>
      <w:r>
        <w:t xml:space="preserve">to reflect only the locations assigned to the user, improving data access control and clarity.</w:t>
      </w:r>
    </w:p>
    <w:p>
      <w:pPr>
        <w:numPr>
          <w:ilvl w:val="0"/>
          <w:numId w:val="1002"/>
        </w:numPr>
        <w:pStyle w:val="Compact"/>
      </w:pPr>
      <w:r>
        <w:t xml:space="preserve">Introducing a</w:t>
      </w:r>
      <w:r>
        <w:t xml:space="preserve"> </w:t>
      </w:r>
      <w:r>
        <w:rPr>
          <w:bCs/>
          <w:b/>
        </w:rPr>
        <w:t xml:space="preserve">Reference Number</w:t>
      </w:r>
      <w:r>
        <w:t xml:space="preserve"> </w:t>
      </w:r>
      <w:r>
        <w:t xml:space="preserve">search type that disables unrelated filters and allows direct retrieval of a record regardless of its type—reducing search friction.</w:t>
      </w:r>
    </w:p>
    <w:p>
      <w:pPr>
        <w:numPr>
          <w:ilvl w:val="0"/>
          <w:numId w:val="1002"/>
        </w:numPr>
        <w:pStyle w:val="Compact"/>
      </w:pPr>
      <w:r>
        <w:t xml:space="preserve">Displaying the</w:t>
      </w:r>
      <w:r>
        <w:t xml:space="preserve"> </w:t>
      </w:r>
      <w:r>
        <w:rPr>
          <w:bCs/>
          <w:b/>
        </w:rPr>
        <w:t xml:space="preserve">Received Date</w:t>
      </w:r>
      <w:r>
        <w:t xml:space="preserve"> </w:t>
      </w:r>
      <w:r>
        <w:t xml:space="preserve">in all relevant search result types to improve traceability, accountability, and troubleshooting efficiency.</w:t>
      </w:r>
    </w:p>
    <w:p>
      <w:r>
        <w:pict>
          <v:rect style="width:0;height:1.5pt" o:hralign="center" o:hrstd="t" o:hr="t"/>
        </w:pict>
      </w:r>
    </w:p>
    <w:bookmarkEnd w:id="20"/>
    <w:bookmarkStart w:id="21" w:name="feature-county-dropdown-access-control"/>
    <w:p>
      <w:pPr>
        <w:pStyle w:val="Heading2"/>
      </w:pPr>
      <w:r>
        <w:t xml:space="preserve">Feature: County Dropdown Access Control</w:t>
      </w:r>
    </w:p>
    <w:p>
      <w:pPr>
        <w:pStyle w:val="FirstParagraph"/>
      </w:pPr>
      <w:r>
        <w:t xml:space="preserve">### Background: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I am logged in</w:t>
      </w:r>
      <w:r>
        <w:t xml:space="preserve"> </w:t>
      </w:r>
      <w:r>
        <w:rPr>
          <w:iCs/>
          <w:i/>
          <w:bCs/>
          <w:b/>
        </w:rPr>
        <w:t xml:space="preserve">And</w:t>
      </w:r>
      <w:r>
        <w:t xml:space="preserve"> </w:t>
      </w:r>
      <w:r>
        <w:t xml:space="preserve">I navigate to the Drug Test Integration page</w:t>
      </w:r>
    </w:p>
    <w:p>
      <w:pPr>
        <w:pStyle w:val="BodyText"/>
      </w:pPr>
      <w:r>
        <w:rPr>
          <w:bCs/>
          <w:b/>
        </w:rPr>
        <w:t xml:space="preserve">Scenario Outline: User sees only their assigned counties in the County dropdown</w:t>
      </w:r>
      <w:r>
        <w:t xml:space="preserve"> </w:t>
      </w:r>
      <w:r>
        <w:rPr>
          <w:iCs/>
          <w:i/>
          <w:bCs/>
          <w:b/>
        </w:rPr>
        <w:t xml:space="preserve">Given</w:t>
      </w:r>
      <w:r>
        <w:t xml:space="preserve"> </w:t>
      </w:r>
      <w:r>
        <w:t xml:space="preserve">my Personnel page shows current locations:</w:t>
      </w:r>
      <w:r>
        <w:t xml:space="preserve"> </w:t>
      </w:r>
      <w:r>
        <w:t xml:space="preserve"> </w:t>
      </w:r>
      <w:r>
        <w:rPr>
          <w:iCs/>
          <w:i/>
          <w:bCs/>
          <w:b/>
        </w:rPr>
        <w:t xml:space="preserve">When</w:t>
      </w:r>
      <w:r>
        <w:t xml:space="preserve"> </w:t>
      </w:r>
      <w:r>
        <w:t xml:space="preserve">I expand the County dropdown</w:t>
      </w:r>
      <w:r>
        <w:t xml:space="preserve"> </w:t>
      </w:r>
      <w:r>
        <w:rPr>
          <w:iCs/>
          <w:i/>
          <w:bCs/>
          <w:b/>
        </w:rPr>
        <w:t xml:space="preserve">Then</w:t>
      </w:r>
      <w:r>
        <w:t xml:space="preserve"> </w:t>
      </w:r>
      <w:r>
        <w:t xml:space="preserve">the County dropdown options are: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| locations         | expected options   | verification context           |</w:t>
      </w:r>
      <w:r>
        <w:br/>
      </w:r>
      <w:r>
        <w:rPr>
          <w:rStyle w:val="VerbatimChar"/>
        </w:rPr>
        <w:t xml:space="preserve">  | Maricopa          | Maricopa           | Single county assigned         |</w:t>
      </w:r>
      <w:r>
        <w:br/>
      </w:r>
      <w:r>
        <w:rPr>
          <w:rStyle w:val="VerbatimChar"/>
        </w:rPr>
        <w:t xml:space="preserve">  | Maricopa, Pima    | Maricopa, Pima     | Multiple counties assigned     |</w:t>
      </w:r>
      <w:r>
        <w:br/>
      </w:r>
      <w:r>
        <w:rPr>
          <w:rStyle w:val="VerbatimChar"/>
        </w:rPr>
        <w:t xml:space="preserve">  | (none)            | (none)             | No county assigned to user     |</w:t>
      </w:r>
    </w:p>
    <w:bookmarkEnd w:id="21"/>
    <w:bookmarkStart w:id="22" w:name="X21eba912cb76fbd15bde53e5b79c92f387d73f9"/>
    <w:p>
      <w:pPr>
        <w:pStyle w:val="Heading2"/>
      </w:pPr>
      <w:r>
        <w:t xml:space="preserve">Feature: Reference Number Record Type Functionality</w:t>
      </w:r>
    </w:p>
    <w:p>
      <w:pPr>
        <w:pStyle w:val="FirstParagraph"/>
      </w:pPr>
      <w:r>
        <w:rPr>
          <w:bCs/>
          <w:b/>
        </w:rPr>
        <w:t xml:space="preserve">Background:</w:t>
      </w:r>
      <w:r>
        <w:t xml:space="preserve"> </w:t>
      </w:r>
      <w:r>
        <w:t xml:space="preserve">Given I am logged in</w:t>
      </w:r>
      <w:r>
        <w:t xml:space="preserve"> </w:t>
      </w:r>
      <w:r>
        <w:t xml:space="preserve">And I navigate to the Drug Test Integration page</w:t>
      </w:r>
    </w:p>
    <w:p>
      <w:pPr>
        <w:pStyle w:val="BodyText"/>
      </w:pPr>
      <w:r>
        <w:rPr>
          <w:iCs/>
          <w:i/>
          <w:bCs/>
          <w:b/>
        </w:rPr>
        <w:t xml:space="preserve">Scenario: Record Type dropdown includes only expected options</w:t>
      </w:r>
      <w:r>
        <w:t xml:space="preserve"> </w:t>
      </w:r>
      <w:r>
        <w:t xml:space="preserve">When I expand the Record Type dropdown</w:t>
      </w:r>
      <w:r>
        <w:t xml:space="preserve"> </w:t>
      </w:r>
      <w:r>
        <w:t xml:space="preserve">Then the Record Type options include:</w:t>
      </w:r>
      <w:r>
        <w:t xml:space="preserve"> </w:t>
      </w:r>
      <w:r>
        <w:t xml:space="preserve">| Reference Number |</w:t>
      </w:r>
      <w:r>
        <w:t xml:space="preserve"> </w:t>
      </w:r>
      <w:r>
        <w:t xml:space="preserve">And no unexpected options are present</w:t>
      </w:r>
    </w:p>
    <w:p>
      <w:pPr>
        <w:pStyle w:val="BodyText"/>
      </w:pPr>
      <w:r>
        <w:rPr>
          <w:iCs/>
          <w:i/>
          <w:bCs/>
          <w:b/>
        </w:rPr>
        <w:t xml:space="preserve">Scenario: Selecting Reference Number disables only the expected search fields</w:t>
      </w:r>
      <w:r>
        <w:t xml:space="preserve"> </w:t>
      </w:r>
      <w:r>
        <w:t xml:space="preserve">When I select</w:t>
      </w:r>
      <w:r>
        <w:t xml:space="preserve"> </w:t>
      </w:r>
      <w:r>
        <w:t xml:space="preserve">‘</w:t>
      </w:r>
      <w:r>
        <w:t xml:space="preserve">Reference Number</w:t>
      </w:r>
      <w:r>
        <w:t xml:space="preserve">’</w:t>
      </w:r>
      <w:r>
        <w:t xml:space="preserve"> </w:t>
      </w:r>
      <w:r>
        <w:t xml:space="preserve">from the Record Type dropdown</w:t>
      </w:r>
      <w:r>
        <w:t xml:space="preserve"> </w:t>
      </w:r>
      <w:r>
        <w:t xml:space="preserve">Then the following fields are disabled:</w:t>
      </w:r>
      <w:r>
        <w:t xml:space="preserve"> </w:t>
      </w:r>
      <w:r>
        <w:t xml:space="preserve">| Timeframe |</w:t>
      </w:r>
      <w:r>
        <w:t xml:space="preserve"> </w:t>
      </w:r>
      <w:r>
        <w:t xml:space="preserve">| Individual |</w:t>
      </w:r>
      <w:r>
        <w:t xml:space="preserve"> </w:t>
      </w:r>
      <w:r>
        <w:t xml:space="preserve">| Provider |</w:t>
      </w:r>
      <w:r>
        <w:t xml:space="preserve"> </w:t>
      </w:r>
      <w:r>
        <w:t xml:space="preserve">| County |</w:t>
      </w:r>
      <w:r>
        <w:t xml:space="preserve"> </w:t>
      </w:r>
      <w:r>
        <w:t xml:space="preserve">| Notification Type |</w:t>
      </w:r>
      <w:r>
        <w:t xml:space="preserve"> </w:t>
      </w:r>
      <w:r>
        <w:t xml:space="preserve">And no other search fields are disabled</w:t>
      </w:r>
    </w:p>
    <w:p>
      <w:pPr>
        <w:pStyle w:val="BodyText"/>
      </w:pPr>
      <w:r>
        <w:rPr>
          <w:iCs/>
          <w:i/>
          <w:bCs/>
          <w:b/>
        </w:rPr>
        <w:t xml:space="preserve">Scenario: Searching by valid Reference Number returns the record</w:t>
      </w:r>
      <w:r>
        <w:t xml:space="preserve"> </w:t>
      </w:r>
      <w:r>
        <w:t xml:space="preserve">Given I am logged in with county: Maricopa</w:t>
      </w:r>
      <w:r>
        <w:t xml:space="preserve"> </w:t>
      </w:r>
      <w:r>
        <w:t xml:space="preserve">And I select</w:t>
      </w:r>
      <w:r>
        <w:t xml:space="preserve"> </w:t>
      </w:r>
      <w:r>
        <w:t xml:space="preserve">‘</w:t>
      </w:r>
      <w:r>
        <w:t xml:space="preserve">Reference Number</w:t>
      </w:r>
      <w:r>
        <w:t xml:space="preserve">’</w:t>
      </w:r>
      <w:r>
        <w:t xml:space="preserve"> </w:t>
      </w:r>
      <w:r>
        <w:t xml:space="preserve">from the Record Type dropdown</w:t>
      </w:r>
      <w:r>
        <w:t xml:space="preserve"> </w:t>
      </w:r>
      <w:r>
        <w:t xml:space="preserve">And I enter a valid reference number associated with Maricopa</w:t>
      </w:r>
      <w:r>
        <w:t xml:space="preserve"> </w:t>
      </w:r>
      <w:r>
        <w:t xml:space="preserve">When I click Search</w:t>
      </w:r>
      <w:r>
        <w:t xml:space="preserve"> </w:t>
      </w:r>
      <w:r>
        <w:t xml:space="preserve">Then the matching record is returned</w:t>
      </w:r>
    </w:p>
    <w:p>
      <w:pPr>
        <w:pStyle w:val="BodyText"/>
      </w:pPr>
      <w:r>
        <w:rPr>
          <w:iCs/>
          <w:i/>
          <w:bCs/>
          <w:b/>
        </w:rPr>
        <w:t xml:space="preserve">Scenario: Searching by Reference Number for a record outside the user’s assigned county returns no results</w:t>
      </w:r>
      <w:r>
        <w:t xml:space="preserve"> </w:t>
      </w:r>
      <w:r>
        <w:t xml:space="preserve">Given I am logged in with county: Maricopa</w:t>
      </w:r>
      <w:r>
        <w:t xml:space="preserve"> </w:t>
      </w:r>
      <w:r>
        <w:t xml:space="preserve">And I select</w:t>
      </w:r>
      <w:r>
        <w:t xml:space="preserve"> </w:t>
      </w:r>
      <w:r>
        <w:t xml:space="preserve">‘</w:t>
      </w:r>
      <w:r>
        <w:t xml:space="preserve">Reference Number</w:t>
      </w:r>
      <w:r>
        <w:t xml:space="preserve">’</w:t>
      </w:r>
      <w:r>
        <w:t xml:space="preserve"> </w:t>
      </w:r>
      <w:r>
        <w:t xml:space="preserve">from the Record Type dropdown</w:t>
      </w:r>
      <w:r>
        <w:t xml:space="preserve"> </w:t>
      </w:r>
      <w:r>
        <w:t xml:space="preserve">And I enter a valid reference number associated with Pima</w:t>
      </w:r>
      <w:r>
        <w:t xml:space="preserve"> </w:t>
      </w:r>
      <w:r>
        <w:t xml:space="preserve">When I click Search</w:t>
      </w:r>
      <w:r>
        <w:t xml:space="preserve"> </w:t>
      </w:r>
      <w:r>
        <w:t xml:space="preserve">Then no record is returned</w:t>
      </w:r>
    </w:p>
    <w:bookmarkEnd w:id="22"/>
    <w:bookmarkStart w:id="23" w:name="X59ca3454b51fa026ae94a7849e51418e3136b69"/>
    <w:p>
      <w:pPr>
        <w:pStyle w:val="Heading2"/>
      </w:pPr>
      <w:r>
        <w:t xml:space="preserve">Feature: Received Date Display in Search Results</w:t>
      </w:r>
    </w:p>
    <w:p>
      <w:pPr>
        <w:pStyle w:val="FirstParagraph"/>
      </w:pPr>
      <w:r>
        <w:rPr>
          <w:bCs/>
          <w:b/>
        </w:rPr>
        <w:t xml:space="preserve">Background:</w:t>
      </w:r>
      <w:r>
        <w:t xml:space="preserve"> </w:t>
      </w:r>
      <w:r>
        <w:t xml:space="preserve">Given I am logged in</w:t>
      </w:r>
      <w:r>
        <w:t xml:space="preserve"> </w:t>
      </w:r>
      <w:r>
        <w:t xml:space="preserve">And I navigate to the Drug Test Integration page</w:t>
      </w:r>
    </w:p>
    <w:p>
      <w:pPr>
        <w:pStyle w:val="BodyText"/>
      </w:pPr>
      <w:r>
        <w:rPr>
          <w:iCs/>
          <w:i/>
          <w:bCs/>
          <w:b/>
        </w:rPr>
        <w:t xml:space="preserve">Scenario Outline: Results show Received Date with proper format and placement</w:t>
      </w:r>
      <w:r>
        <w:t xml:space="preserve"> </w:t>
      </w:r>
      <w:r>
        <w:t xml:space="preserve">Given I select record type:</w:t>
      </w:r>
      <w:r>
        <w:t xml:space="preserve"> </w:t>
      </w:r>
      <w:r>
        <w:t xml:space="preserve"> </w:t>
      </w:r>
      <w:r>
        <w:t xml:space="preserve">And I enter search criteria that returns results</w:t>
      </w:r>
      <w:r>
        <w:t xml:space="preserve"> </w:t>
      </w:r>
      <w:r>
        <w:t xml:space="preserve">When I click Search</w:t>
      </w:r>
      <w:r>
        <w:t xml:space="preserve"> </w:t>
      </w:r>
      <w:r>
        <w:t xml:space="preserve">Then each result row includes:</w:t>
      </w:r>
      <w:r>
        <w:t xml:space="preserve"> </w:t>
      </w:r>
      <w:r>
        <w:t xml:space="preserve">| Column | Placement | Format |</w:t>
      </w:r>
      <w:r>
        <w:t xml:space="preserve"> </w:t>
      </w:r>
      <w:r>
        <w:t xml:space="preserve">| Received Date | After Reference # | MM/DD/YYYY HH:MM AM/PM |</w:t>
      </w:r>
      <w:r>
        <w:t xml:space="preserve"> </w:t>
      </w:r>
      <w:r>
        <w:t xml:space="preserve">And the Received Date value matches the expected datetime format</w:t>
      </w:r>
    </w:p>
    <w:p>
      <w:pPr>
        <w:pStyle w:val="SourceCode"/>
      </w:pP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| record type      |</w:t>
      </w:r>
      <w:r>
        <w:br/>
      </w:r>
      <w:r>
        <w:rPr>
          <w:rStyle w:val="VerbatimChar"/>
        </w:rPr>
        <w:t xml:space="preserve">  | Responses        |</w:t>
      </w:r>
      <w:r>
        <w:br/>
      </w:r>
      <w:r>
        <w:rPr>
          <w:rStyle w:val="VerbatimChar"/>
        </w:rPr>
        <w:t xml:space="preserve">  | Errors           |</w:t>
      </w:r>
      <w:r>
        <w:br/>
      </w:r>
      <w:r>
        <w:rPr>
          <w:rStyle w:val="VerbatimChar"/>
        </w:rPr>
        <w:t xml:space="preserve">  | Unmatched        |</w:t>
      </w:r>
      <w:r>
        <w:br/>
      </w:r>
      <w:r>
        <w:rPr>
          <w:rStyle w:val="VerbatimChar"/>
        </w:rPr>
        <w:t xml:space="preserve">  | Reference Number |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2025-04-30T18:37:08Z</dcterms:created>
  <dcterms:modified xsi:type="dcterms:W3CDTF">2025-04-30T18:37:08Z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