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B1F3A"/>
          <w:sz w:val="34"/>
          <w:szCs w:val="34"/>
        </w:rPr>
        <w:t xml:space="preserve">Operating Agreement — Harbor Logistics HoldCo</w:t>
      </w:r>
    </w:p>
    <w:p>
      <w:pPr>
        <w:spacing w:after="140" w:line="290"/>
      </w:pPr>
      <w:r>
        <w:rPr>
          <w:rFonts w:ascii="Calibri" w:cs="Calibri" w:eastAsia="Calibri" w:hAnsi="Calibri"/>
          <w:b/>
          <w:bCs/>
          <w:color w:val="1B2430"/>
          <w:sz w:val="20"/>
          <w:szCs w:val="20"/>
        </w:rPr>
        <w:t xml:space="preserve">DRAFT — FOR QUALIFIED COUNSEL REVIEW BEFORE EXECUTION.</w:t>
      </w:r>
      <w:r>
        <w:rPr>
          <w:rFonts w:ascii="Calibri" w:cs="Calibri" w:eastAsia="Calibri" w:hAnsi="Calibri"/>
          <w:b w:val="false"/>
          <w:bCs w:val="false"/>
          <w:color w:val="1B2430"/>
          <w:sz w:val="20"/>
          <w:szCs w:val="20"/>
        </w:rPr>
        <w:t xml:space="preserve"> Assembled from approved clause variants; not legal advice.</w:t>
      </w:r>
    </w:p>
    <w:p>
      <w:pPr>
        <w:pStyle w:val="ListParagraph"/>
        <w:numPr>
          <w:ilvl w:val="0"/>
          <w:numId w:val="1"/>
        </w:numPr>
        <w:spacing w:after="80" w:line="280"/>
      </w:pPr>
      <w:r>
        <w:rPr>
          <w:rFonts w:ascii="Calibri" w:cs="Calibri" w:eastAsia="Calibri" w:hAnsi="Calibri"/>
          <w:b/>
          <w:bCs/>
          <w:color w:val="1B2430"/>
          <w:sz w:val="20"/>
          <w:szCs w:val="20"/>
        </w:rPr>
        <w:t xml:space="preserve">Counterparty:</w:t>
      </w:r>
      <w:r>
        <w:rPr>
          <w:rFonts w:ascii="Calibri" w:cs="Calibri" w:eastAsia="Calibri" w:hAnsi="Calibri"/>
          <w:b w:val="false"/>
          <w:bCs w:val="false"/>
          <w:color w:val="1B2430"/>
          <w:sz w:val="20"/>
          <w:szCs w:val="20"/>
        </w:rPr>
        <w:t xml:space="preserve"> Harbor Partners LLC</w:t>
      </w:r>
    </w:p>
    <w:p>
      <w:pPr>
        <w:pStyle w:val="ListParagraph"/>
        <w:numPr>
          <w:ilvl w:val="0"/>
          <w:numId w:val="1"/>
        </w:numPr>
        <w:spacing w:after="80" w:line="280"/>
      </w:pPr>
      <w:r>
        <w:rPr>
          <w:rFonts w:ascii="Calibri" w:cs="Calibri" w:eastAsia="Calibri" w:hAnsi="Calibri"/>
          <w:b/>
          <w:bCs/>
          <w:color w:val="1B2430"/>
          <w:sz w:val="20"/>
          <w:szCs w:val="20"/>
        </w:rPr>
        <w:t xml:space="preserve">Governing law:</w:t>
      </w:r>
      <w:r>
        <w:rPr>
          <w:rFonts w:ascii="Calibri" w:cs="Calibri" w:eastAsia="Calibri" w:hAnsi="Calibri"/>
          <w:b w:val="false"/>
          <w:bCs w:val="false"/>
          <w:color w:val="1B2430"/>
          <w:sz w:val="20"/>
          <w:szCs w:val="20"/>
        </w:rPr>
        <w:t xml:space="preserve"> the State of Delaware</w:t>
      </w:r>
    </w:p>
    <w:p>
      <w:pPr>
        <w:pStyle w:val="ListParagraph"/>
        <w:numPr>
          <w:ilvl w:val="0"/>
          <w:numId w:val="1"/>
        </w:numPr>
        <w:spacing w:after="80" w:line="280"/>
      </w:pPr>
      <w:r>
        <w:rPr>
          <w:rFonts w:ascii="Calibri" w:cs="Calibri" w:eastAsia="Calibri" w:hAnsi="Calibri"/>
          <w:b/>
          <w:bCs/>
          <w:color w:val="1B2430"/>
          <w:sz w:val="20"/>
          <w:szCs w:val="20"/>
        </w:rPr>
        <w:t xml:space="preserve">Risk posture:</w:t>
      </w:r>
      <w:r>
        <w:rPr>
          <w:rFonts w:ascii="Calibri" w:cs="Calibri" w:eastAsia="Calibri" w:hAnsi="Calibri"/>
          <w:b w:val="false"/>
          <w:bCs w:val="false"/>
          <w:color w:val="1B2430"/>
          <w:sz w:val="20"/>
          <w:szCs w:val="20"/>
        </w:rPr>
        <w:t xml:space="preserve"> protective — selected for Tessera capital at risk</w:t>
      </w:r>
    </w:p>
    <w:p>
      <w:pPr>
        <w:pBdr>
          <w:bottom w:val="single" w:color="B8963E" w:sz="6" w:space="1"/>
        </w:pBdr>
        <w:spacing w:after="160" w:before="160"/>
      </w:pPr>
    </w:p>
    <w:p>
      <w:pPr>
        <w:spacing w:after="140" w:line="290"/>
      </w:pPr>
      <w:r>
        <w:rPr>
          <w:rFonts w:ascii="Calibri" w:cs="Calibri" w:eastAsia="Calibri" w:hAnsi="Calibri"/>
          <w:b w:val="false"/>
          <w:bCs w:val="false"/>
          <w:color w:val="1B2430"/>
          <w:sz w:val="20"/>
          <w:szCs w:val="20"/>
        </w:rPr>
        <w:t xml:space="preserve">This Operating Agreement (this "Agreement") is entered into as of 1 September 2026 (the "Effective Date") by and among:</w:t>
      </w:r>
    </w:p>
    <w:p>
      <w:pPr>
        <w:pStyle w:val="ListParagraph"/>
        <w:numPr>
          <w:ilvl w:val="0"/>
          <w:numId w:val="1"/>
        </w:numPr>
        <w:spacing w:after="80" w:line="280"/>
      </w:pPr>
      <w:r>
        <w:rPr>
          <w:rFonts w:ascii="Calibri" w:cs="Calibri" w:eastAsia="Calibri" w:hAnsi="Calibri"/>
          <w:b/>
          <w:bCs/>
          <w:color w:val="1B2430"/>
          <w:sz w:val="20"/>
          <w:szCs w:val="20"/>
        </w:rPr>
        <w:t xml:space="preserve">Tessera Holdings LLC</w:t>
      </w:r>
      <w:r>
        <w:rPr>
          <w:rFonts w:ascii="Calibri" w:cs="Calibri" w:eastAsia="Calibri" w:hAnsi="Calibri"/>
          <w:b w:val="false"/>
          <w:bCs w:val="false"/>
          <w:color w:val="1B2430"/>
          <w:sz w:val="20"/>
          <w:szCs w:val="20"/>
        </w:rPr>
        <w:t xml:space="preserve">, a Delaware limited liability company ("Member")</w:t>
      </w:r>
    </w:p>
    <w:p>
      <w:pPr>
        <w:pStyle w:val="ListParagraph"/>
        <w:numPr>
          <w:ilvl w:val="0"/>
          <w:numId w:val="1"/>
        </w:numPr>
        <w:spacing w:after="80" w:line="280"/>
      </w:pPr>
      <w:r>
        <w:rPr>
          <w:rFonts w:ascii="Calibri" w:cs="Calibri" w:eastAsia="Calibri" w:hAnsi="Calibri"/>
          <w:b/>
          <w:bCs/>
          <w:color w:val="1B2430"/>
          <w:sz w:val="20"/>
          <w:szCs w:val="20"/>
        </w:rPr>
        <w:t xml:space="preserve">Harbor Partners LLC</w:t>
      </w:r>
      <w:r>
        <w:rPr>
          <w:rFonts w:ascii="Calibri" w:cs="Calibri" w:eastAsia="Calibri" w:hAnsi="Calibri"/>
          <w:b w:val="false"/>
          <w:bCs w:val="false"/>
          <w:color w:val="1B2430"/>
          <w:sz w:val="20"/>
          <w:szCs w:val="20"/>
        </w:rPr>
        <w:t xml:space="preserve">, an Oklahoma limited liability company ("Member")</w:t>
      </w:r>
    </w:p>
    <w:p>
      <w:pPr>
        <w:pBdr>
          <w:bottom w:val="single" w:color="B8963E" w:sz="6" w:space="1"/>
        </w:pBdr>
        <w:spacing w:after="160" w:before="160"/>
      </w:pPr>
    </w:p>
    <w:p>
      <w:pPr>
        <w:pStyle w:val="Heading2"/>
        <w:pBdr>
          <w:bottom w:val="single" w:color="B8963E" w:sz="4" w:space="3"/>
        </w:pBdr>
        <w:spacing w:after="120" w:before="300"/>
      </w:pPr>
      <w:r>
        <w:rPr>
          <w:rFonts w:ascii="Georgia" w:cs="Georgia" w:eastAsia="Georgia" w:hAnsi="Georgia"/>
          <w:b/>
          <w:bCs/>
          <w:color w:val="0B1F3A"/>
          <w:sz w:val="24"/>
          <w:szCs w:val="24"/>
        </w:rPr>
        <w:t xml:space="preserve">1. Definitions</w:t>
      </w:r>
    </w:p>
    <w:p>
      <w:pPr>
        <w:spacing w:after="140" w:line="290"/>
      </w:pPr>
      <w:r>
        <w:rPr>
          <w:rFonts w:ascii="Calibri" w:cs="Calibri" w:eastAsia="Calibri" w:hAnsi="Calibri"/>
          <w:b/>
          <w:bCs/>
          <w:color w:val="1B2430"/>
          <w:sz w:val="20"/>
          <w:szCs w:val="20"/>
        </w:rPr>
        <w:t xml:space="preserve">“Affiliate”</w:t>
      </w:r>
      <w:r>
        <w:rPr>
          <w:rFonts w:ascii="Calibri" w:cs="Calibri" w:eastAsia="Calibri" w:hAnsi="Calibri"/>
          <w:b w:val="false"/>
          <w:bCs w:val="false"/>
          <w:color w:val="1B2430"/>
          <w:sz w:val="20"/>
          <w:szCs w:val="20"/>
        </w:rPr>
        <w:t xml:space="preserve"> means, in relation to any person, any other person that directly or indirectly controls, is controlled by, or is under common control with that person.</w:t>
      </w:r>
    </w:p>
    <w:p>
      <w:pPr>
        <w:spacing w:after="140" w:line="290"/>
      </w:pPr>
      <w:r>
        <w:rPr>
          <w:rFonts w:ascii="Calibri" w:cs="Calibri" w:eastAsia="Calibri" w:hAnsi="Calibri"/>
          <w:b/>
          <w:bCs/>
          <w:color w:val="1B2430"/>
          <w:sz w:val="20"/>
          <w:szCs w:val="20"/>
        </w:rPr>
        <w:t xml:space="preserve">“Agreement”</w:t>
      </w:r>
      <w:r>
        <w:rPr>
          <w:rFonts w:ascii="Calibri" w:cs="Calibri" w:eastAsia="Calibri" w:hAnsi="Calibri"/>
          <w:b w:val="false"/>
          <w:bCs w:val="false"/>
          <w:color w:val="1B2430"/>
          <w:sz w:val="20"/>
          <w:szCs w:val="20"/>
        </w:rPr>
        <w:t xml:space="preserve"> means this operating agreement, as amended from time to time.</w:t>
      </w:r>
    </w:p>
    <w:p>
      <w:pPr>
        <w:spacing w:after="140" w:line="290"/>
      </w:pPr>
      <w:r>
        <w:rPr>
          <w:rFonts w:ascii="Calibri" w:cs="Calibri" w:eastAsia="Calibri" w:hAnsi="Calibri"/>
          <w:b/>
          <w:bCs/>
          <w:color w:val="1B2430"/>
          <w:sz w:val="20"/>
          <w:szCs w:val="20"/>
        </w:rPr>
        <w:t xml:space="preserve">“Assumed Tax Rate”</w:t>
      </w:r>
      <w:r>
        <w:rPr>
          <w:rFonts w:ascii="Calibri" w:cs="Calibri" w:eastAsia="Calibri" w:hAnsi="Calibri"/>
          <w:b w:val="false"/>
          <w:bCs w:val="false"/>
          <w:color w:val="1B2430"/>
          <w:sz w:val="20"/>
          <w:szCs w:val="20"/>
        </w:rPr>
        <w:t xml:space="preserve"> means the highest combined marginal federal, state, and local income tax rate applicable to an individual resident in the State of Delaware, as reasonably determined by the Manager.</w:t>
      </w:r>
    </w:p>
    <w:p>
      <w:pPr>
        <w:spacing w:after="140" w:line="290"/>
      </w:pPr>
      <w:r>
        <w:rPr>
          <w:rFonts w:ascii="Calibri" w:cs="Calibri" w:eastAsia="Calibri" w:hAnsi="Calibri"/>
          <w:b/>
          <w:bCs/>
          <w:color w:val="1B2430"/>
          <w:sz w:val="20"/>
          <w:szCs w:val="20"/>
        </w:rPr>
        <w:t xml:space="preserve">“Capital Contribution”</w:t>
      </w:r>
      <w:r>
        <w:rPr>
          <w:rFonts w:ascii="Calibri" w:cs="Calibri" w:eastAsia="Calibri" w:hAnsi="Calibri"/>
          <w:b w:val="false"/>
          <w:bCs w:val="false"/>
          <w:color w:val="1B2430"/>
          <w:sz w:val="20"/>
          <w:szCs w:val="20"/>
        </w:rPr>
        <w:t xml:space="preserve"> means the cash or property a Member contributes to the Company, as recorded on Schedule A.</w:t>
      </w:r>
    </w:p>
    <w:p>
      <w:pPr>
        <w:spacing w:after="140" w:line="290"/>
      </w:pPr>
      <w:r>
        <w:rPr>
          <w:rFonts w:ascii="Calibri" w:cs="Calibri" w:eastAsia="Calibri" w:hAnsi="Calibri"/>
          <w:b/>
          <w:bCs/>
          <w:color w:val="1B2430"/>
          <w:sz w:val="20"/>
          <w:szCs w:val="20"/>
        </w:rPr>
        <w:t xml:space="preserve">“Certificate of Formation”</w:t>
      </w:r>
      <w:r>
        <w:rPr>
          <w:rFonts w:ascii="Calibri" w:cs="Calibri" w:eastAsia="Calibri" w:hAnsi="Calibri"/>
          <w:b w:val="false"/>
          <w:bCs w:val="false"/>
          <w:color w:val="1B2430"/>
          <w:sz w:val="20"/>
          <w:szCs w:val="20"/>
        </w:rPr>
        <w:t xml:space="preserve"> means the certificate of formation of the Company filed with the Secretary of State of the State of Delaware, as amended.</w:t>
      </w:r>
    </w:p>
    <w:p>
      <w:pPr>
        <w:spacing w:after="140" w:line="290"/>
      </w:pPr>
      <w:r>
        <w:rPr>
          <w:rFonts w:ascii="Calibri" w:cs="Calibri" w:eastAsia="Calibri" w:hAnsi="Calibri"/>
          <w:b/>
          <w:bCs/>
          <w:color w:val="1B2430"/>
          <w:sz w:val="20"/>
          <w:szCs w:val="20"/>
        </w:rPr>
        <w:t xml:space="preserve">“Company”</w:t>
      </w:r>
      <w:r>
        <w:rPr>
          <w:rFonts w:ascii="Calibri" w:cs="Calibri" w:eastAsia="Calibri" w:hAnsi="Calibri"/>
          <w:b w:val="false"/>
          <w:bCs w:val="false"/>
          <w:color w:val="1B2430"/>
          <w:sz w:val="20"/>
          <w:szCs w:val="20"/>
        </w:rPr>
        <w:t xml:space="preserve"> means the limited liability company governed by this Agreement.</w:t>
      </w:r>
    </w:p>
    <w:p>
      <w:pPr>
        <w:spacing w:after="140" w:line="290"/>
      </w:pPr>
      <w:r>
        <w:rPr>
          <w:rFonts w:ascii="Calibri" w:cs="Calibri" w:eastAsia="Calibri" w:hAnsi="Calibri"/>
          <w:b/>
          <w:bCs/>
          <w:color w:val="1B2430"/>
          <w:sz w:val="20"/>
          <w:szCs w:val="20"/>
        </w:rPr>
        <w:t xml:space="preserve">“Distributable Cash”</w:t>
      </w:r>
      <w:r>
        <w:rPr>
          <w:rFonts w:ascii="Calibri" w:cs="Calibri" w:eastAsia="Calibri" w:hAnsi="Calibri"/>
          <w:b w:val="false"/>
          <w:bCs w:val="false"/>
          <w:color w:val="1B2430"/>
          <w:sz w:val="20"/>
          <w:szCs w:val="20"/>
        </w:rPr>
        <w:t xml:space="preserve"> means cash held by the Company that the Manager determines is not required for Company obligations or reasonable reserves.</w:t>
      </w:r>
    </w:p>
    <w:p>
      <w:pPr>
        <w:spacing w:after="140" w:line="290"/>
      </w:pPr>
      <w:r>
        <w:rPr>
          <w:rFonts w:ascii="Calibri" w:cs="Calibri" w:eastAsia="Calibri" w:hAnsi="Calibri"/>
          <w:b/>
          <w:bCs/>
          <w:color w:val="1B2430"/>
          <w:sz w:val="20"/>
          <w:szCs w:val="20"/>
        </w:rPr>
        <w:t xml:space="preserve">“Manager”</w:t>
      </w:r>
      <w:r>
        <w:rPr>
          <w:rFonts w:ascii="Calibri" w:cs="Calibri" w:eastAsia="Calibri" w:hAnsi="Calibri"/>
          <w:b w:val="false"/>
          <w:bCs w:val="false"/>
          <w:color w:val="1B2430"/>
          <w:sz w:val="20"/>
          <w:szCs w:val="20"/>
        </w:rPr>
        <w:t xml:space="preserve"> means the person designated as manager of the Company under this Agreement, and any successor appointed in accordance with it.</w:t>
      </w:r>
    </w:p>
    <w:p>
      <w:pPr>
        <w:spacing w:after="140" w:line="290"/>
      </w:pPr>
      <w:r>
        <w:rPr>
          <w:rFonts w:ascii="Calibri" w:cs="Calibri" w:eastAsia="Calibri" w:hAnsi="Calibri"/>
          <w:b/>
          <w:bCs/>
          <w:color w:val="1B2430"/>
          <w:sz w:val="20"/>
          <w:szCs w:val="20"/>
        </w:rPr>
        <w:t xml:space="preserve">“Member”</w:t>
      </w:r>
      <w:r>
        <w:rPr>
          <w:rFonts w:ascii="Calibri" w:cs="Calibri" w:eastAsia="Calibri" w:hAnsi="Calibri"/>
          <w:b w:val="false"/>
          <w:bCs w:val="false"/>
          <w:color w:val="1B2430"/>
          <w:sz w:val="20"/>
          <w:szCs w:val="20"/>
        </w:rPr>
        <w:t xml:space="preserve"> means each person admitted as a member of the Company and listed on Schedule A, for so long as it holds Units.</w:t>
      </w:r>
    </w:p>
    <w:p>
      <w:pPr>
        <w:spacing w:after="140" w:line="290"/>
      </w:pPr>
      <w:r>
        <w:rPr>
          <w:rFonts w:ascii="Calibri" w:cs="Calibri" w:eastAsia="Calibri" w:hAnsi="Calibri"/>
          <w:b/>
          <w:bCs/>
          <w:color w:val="1B2430"/>
          <w:sz w:val="20"/>
          <w:szCs w:val="20"/>
        </w:rPr>
        <w:t xml:space="preserve">“Transfer”</w:t>
      </w:r>
      <w:r>
        <w:rPr>
          <w:rFonts w:ascii="Calibri" w:cs="Calibri" w:eastAsia="Calibri" w:hAnsi="Calibri"/>
          <w:b w:val="false"/>
          <w:bCs w:val="false"/>
          <w:color w:val="1B2430"/>
          <w:sz w:val="20"/>
          <w:szCs w:val="20"/>
        </w:rPr>
        <w:t xml:space="preserve"> means any direct or indirect sale, assignment, gift, pledge, encumbrance, or other disposition, whether voluntary or by operation of law.</w:t>
      </w:r>
    </w:p>
    <w:p>
      <w:pPr>
        <w:spacing w:after="140" w:line="290"/>
      </w:pPr>
      <w:r>
        <w:rPr>
          <w:rFonts w:ascii="Calibri" w:cs="Calibri" w:eastAsia="Calibri" w:hAnsi="Calibri"/>
          <w:b/>
          <w:bCs/>
          <w:color w:val="1B2430"/>
          <w:sz w:val="20"/>
          <w:szCs w:val="20"/>
        </w:rPr>
        <w:t xml:space="preserve">“Units”</w:t>
      </w:r>
      <w:r>
        <w:rPr>
          <w:rFonts w:ascii="Calibri" w:cs="Calibri" w:eastAsia="Calibri" w:hAnsi="Calibri"/>
          <w:b w:val="false"/>
          <w:bCs w:val="false"/>
          <w:color w:val="1B2430"/>
          <w:sz w:val="20"/>
          <w:szCs w:val="20"/>
        </w:rPr>
        <w:t xml:space="preserve"> means the limited liability company interests in the Company, representing a Member's economic and, except where this Agreement provides otherwise, voting rights.</w:t>
      </w:r>
    </w:p>
    <w:p>
      <w:pPr>
        <w:spacing w:after="140" w:line="290"/>
      </w:pPr>
      <w:r>
        <w:rPr>
          <w:rFonts w:ascii="Calibri" w:cs="Calibri" w:eastAsia="Calibri" w:hAnsi="Calibri"/>
          <w:b/>
          <w:bCs/>
          <w:color w:val="1B2430"/>
          <w:sz w:val="20"/>
          <w:szCs w:val="20"/>
        </w:rPr>
        <w:t xml:space="preserve">“Unreturned Capital”</w:t>
      </w:r>
      <w:r>
        <w:rPr>
          <w:rFonts w:ascii="Calibri" w:cs="Calibri" w:eastAsia="Calibri" w:hAnsi="Calibri"/>
          <w:b w:val="false"/>
          <w:bCs w:val="false"/>
          <w:color w:val="1B2430"/>
          <w:sz w:val="20"/>
          <w:szCs w:val="20"/>
        </w:rPr>
        <w:t xml:space="preserve"> means, for a Member at any time, its aggregate Capital Contributions less all amounts previously distributed to it under the return-of-capital tier of the Distributions Section.</w:t>
      </w:r>
    </w:p>
    <w:p>
      <w:pPr>
        <w:spacing w:after="140" w:line="290"/>
      </w:pPr>
      <w:r>
        <w:rPr>
          <w:rFonts w:ascii="Calibri" w:cs="Calibri" w:eastAsia="Calibri" w:hAnsi="Calibri"/>
          <w:b/>
          <w:bCs/>
          <w:color w:val="1B2430"/>
          <w:sz w:val="20"/>
          <w:szCs w:val="20"/>
        </w:rPr>
        <w:t xml:space="preserve">“Unreturned Preferred Return”</w:t>
      </w:r>
      <w:r>
        <w:rPr>
          <w:rFonts w:ascii="Calibri" w:cs="Calibri" w:eastAsia="Calibri" w:hAnsi="Calibri"/>
          <w:b w:val="false"/>
          <w:bCs w:val="false"/>
          <w:color w:val="1B2430"/>
          <w:sz w:val="20"/>
          <w:szCs w:val="20"/>
        </w:rPr>
        <w:t xml:space="preserve"> means, for a Member, the accrued and unpaid preferred return on its Unreturned Capital.</w:t>
      </w:r>
    </w:p>
    <w:p>
      <w:pPr>
        <w:pStyle w:val="Heading2"/>
        <w:pBdr>
          <w:bottom w:val="single" w:color="B8963E" w:sz="4" w:space="3"/>
        </w:pBdr>
        <w:spacing w:after="120" w:before="300"/>
      </w:pPr>
      <w:r>
        <w:rPr>
          <w:rFonts w:ascii="Georgia" w:cs="Georgia" w:eastAsia="Georgia" w:hAnsi="Georgia"/>
          <w:b/>
          <w:bCs/>
          <w:color w:val="0B1F3A"/>
          <w:sz w:val="24"/>
          <w:szCs w:val="24"/>
        </w:rPr>
        <w:t xml:space="preserve">2. Purpose and Powers</w:t>
      </w:r>
    </w:p>
    <w:p>
      <w:pPr>
        <w:spacing w:after="140" w:line="290"/>
      </w:pPr>
      <w:r>
        <w:rPr>
          <w:rFonts w:ascii="Calibri" w:cs="Calibri" w:eastAsia="Calibri" w:hAnsi="Calibri"/>
          <w:b/>
          <w:bCs/>
          <w:color w:val="1B2430"/>
          <w:sz w:val="20"/>
          <w:szCs w:val="20"/>
        </w:rPr>
        <w:t xml:space="preserve">2.1 Purpose.</w:t>
      </w:r>
      <w:r>
        <w:rPr>
          <w:rFonts w:ascii="Calibri" w:cs="Calibri" w:eastAsia="Calibri" w:hAnsi="Calibri"/>
          <w:b w:val="false"/>
          <w:bCs w:val="false"/>
          <w:color w:val="1B2430"/>
          <w:sz w:val="20"/>
          <w:szCs w:val="20"/>
        </w:rPr>
        <w:t xml:space="preserve"> The Company is formed for the sole purpose of acquiring, developing, and operating the Property, and for activities reasonably incidental to that purpose. The Company shall not engage in any other business without the Approval of the Members.</w:t>
      </w:r>
    </w:p>
    <w:p>
      <w:pPr>
        <w:spacing w:after="140" w:line="290"/>
      </w:pPr>
      <w:r>
        <w:rPr>
          <w:rFonts w:ascii="Calibri" w:cs="Calibri" w:eastAsia="Calibri" w:hAnsi="Calibri"/>
          <w:b/>
          <w:bCs/>
          <w:color w:val="1B2430"/>
          <w:sz w:val="20"/>
          <w:szCs w:val="20"/>
        </w:rPr>
        <w:t xml:space="preserve">2.2 Powers.</w:t>
      </w:r>
      <w:r>
        <w:rPr>
          <w:rFonts w:ascii="Calibri" w:cs="Calibri" w:eastAsia="Calibri" w:hAnsi="Calibri"/>
          <w:b w:val="false"/>
          <w:bCs w:val="false"/>
          <w:color w:val="1B2430"/>
          <w:sz w:val="20"/>
          <w:szCs w:val="20"/>
        </w:rPr>
        <w:t xml:space="preserve"> Subject to Section 2.1 and to the reserved matters set out in this Agreement, the Company has the power to do all things necessary or convenient to carry out its purpose.</w:t>
      </w:r>
    </w:p>
    <w:p>
      <w:pPr>
        <w:spacing w:after="140" w:line="290"/>
      </w:pPr>
      <w:r>
        <w:rPr>
          <w:rFonts w:ascii="Calibri" w:cs="Calibri" w:eastAsia="Calibri" w:hAnsi="Calibri"/>
          <w:b/>
          <w:bCs/>
          <w:color w:val="1B2430"/>
          <w:sz w:val="20"/>
          <w:szCs w:val="20"/>
        </w:rPr>
        <w:t xml:space="preserve">2.3 No Implied Expansion.</w:t>
      </w:r>
      <w:r>
        <w:rPr>
          <w:rFonts w:ascii="Calibri" w:cs="Calibri" w:eastAsia="Calibri" w:hAnsi="Calibri"/>
          <w:b w:val="false"/>
          <w:bCs w:val="false"/>
          <w:color w:val="1B2430"/>
          <w:sz w:val="20"/>
          <w:szCs w:val="20"/>
        </w:rPr>
        <w:t xml:space="preserve"> No course of dealing, and no act taken by the Company or any Member, expands the purpose stated in Section 2.1.</w:t>
      </w:r>
    </w:p>
    <w:p>
      <w:pPr>
        <w:pStyle w:val="Heading2"/>
        <w:pBdr>
          <w:bottom w:val="single" w:color="B8963E" w:sz="4" w:space="3"/>
        </w:pBdr>
        <w:spacing w:after="120" w:before="300"/>
      </w:pPr>
      <w:r>
        <w:rPr>
          <w:rFonts w:ascii="Georgia" w:cs="Georgia" w:eastAsia="Georgia" w:hAnsi="Georgia"/>
          <w:b/>
          <w:bCs/>
          <w:color w:val="0B1F3A"/>
          <w:sz w:val="24"/>
          <w:szCs w:val="24"/>
        </w:rPr>
        <w:t xml:space="preserve">3. Capital Contributions</w:t>
      </w:r>
    </w:p>
    <w:p>
      <w:pPr>
        <w:spacing w:after="140" w:line="290"/>
      </w:pPr>
      <w:r>
        <w:rPr>
          <w:rFonts w:ascii="Calibri" w:cs="Calibri" w:eastAsia="Calibri" w:hAnsi="Calibri"/>
          <w:b/>
          <w:bCs/>
          <w:color w:val="1B2430"/>
          <w:sz w:val="20"/>
          <w:szCs w:val="20"/>
        </w:rPr>
        <w:t xml:space="preserve">3.1 Initial Contributions.</w:t>
      </w:r>
      <w:r>
        <w:rPr>
          <w:rFonts w:ascii="Calibri" w:cs="Calibri" w:eastAsia="Calibri" w:hAnsi="Calibri"/>
          <w:b w:val="false"/>
          <w:bCs w:val="false"/>
          <w:color w:val="1B2430"/>
          <w:sz w:val="20"/>
          <w:szCs w:val="20"/>
        </w:rPr>
        <w:t xml:space="preserve"> Each Member has contributed the cash or property set out opposite its name on Schedule A, and has received the Units set out there.</w:t>
      </w:r>
    </w:p>
    <w:p>
      <w:pPr>
        <w:spacing w:after="140" w:line="290"/>
      </w:pPr>
      <w:r>
        <w:rPr>
          <w:rFonts w:ascii="Calibri" w:cs="Calibri" w:eastAsia="Calibri" w:hAnsi="Calibri"/>
          <w:b/>
          <w:bCs/>
          <w:color w:val="1B2430"/>
          <w:sz w:val="20"/>
          <w:szCs w:val="20"/>
        </w:rPr>
        <w:t xml:space="preserve">3.2 Additional Capital.</w:t>
      </w:r>
      <w:r>
        <w:rPr>
          <w:rFonts w:ascii="Calibri" w:cs="Calibri" w:eastAsia="Calibri" w:hAnsi="Calibri"/>
          <w:b w:val="false"/>
          <w:bCs w:val="false"/>
          <w:color w:val="1B2430"/>
          <w:sz w:val="20"/>
          <w:szCs w:val="20"/>
        </w:rPr>
        <w:t xml:space="preserve"> No Member is obligated to make any additional Capital Contribution. If the Manager determines in good faith that the Company requires additional capital, the Manager may deliver a written call to all Members stating the amount, the purpose, and a funding date not less than 15 days after the notice. Each Member may, but need not, fund its pro rata share.</w:t>
      </w:r>
    </w:p>
    <w:p>
      <w:pPr>
        <w:spacing w:after="140" w:line="290"/>
      </w:pPr>
      <w:r>
        <w:rPr>
          <w:rFonts w:ascii="Calibri" w:cs="Calibri" w:eastAsia="Calibri" w:hAnsi="Calibri"/>
          <w:b/>
          <w:bCs/>
          <w:color w:val="1B2430"/>
          <w:sz w:val="20"/>
          <w:szCs w:val="20"/>
        </w:rPr>
        <w:t xml:space="preserve">3.3 Failure to Fund.</w:t>
      </w:r>
      <w:r>
        <w:rPr>
          <w:rFonts w:ascii="Calibri" w:cs="Calibri" w:eastAsia="Calibri" w:hAnsi="Calibri"/>
          <w:b w:val="false"/>
          <w:bCs w:val="false"/>
          <w:color w:val="1B2430"/>
          <w:sz w:val="20"/>
          <w:szCs w:val="20"/>
        </w:rPr>
        <w:t xml:space="preserve"> If a Member does not fund its full pro rata share by the funding date, the other Members may fund the shortfall, in which case, at the electing Member's option: (a) the amount funded is treated as an additional Capital Contribution and the Units of all Members are adjusted so that each Member holds Units in proportion to total Capital Contributions, with the non-funding Member diluted accordingly; or (b) the amount funded is treated as a loan to the Company bearing interest at 12%, repayable in priority to any distribution under Section 3.1 of the Distributions Section.</w:t>
      </w:r>
    </w:p>
    <w:p>
      <w:pPr>
        <w:spacing w:after="140" w:line="290"/>
      </w:pPr>
      <w:r>
        <w:rPr>
          <w:rFonts w:ascii="Calibri" w:cs="Calibri" w:eastAsia="Calibri" w:hAnsi="Calibri"/>
          <w:b/>
          <w:bCs/>
          <w:color w:val="1B2430"/>
          <w:sz w:val="20"/>
          <w:szCs w:val="20"/>
        </w:rPr>
        <w:t xml:space="preserve">3.4 No Interest; No Withdrawal.</w:t>
      </w:r>
      <w:r>
        <w:rPr>
          <w:rFonts w:ascii="Calibri" w:cs="Calibri" w:eastAsia="Calibri" w:hAnsi="Calibri"/>
          <w:b w:val="false"/>
          <w:bCs w:val="false"/>
          <w:color w:val="1B2430"/>
          <w:sz w:val="20"/>
          <w:szCs w:val="20"/>
        </w:rPr>
        <w:t xml:space="preserve"> No Member is entitled to interest on its Capital Contribution or to withdraw or demand the return of any part of it except as expressly provided in this Agreement.</w:t>
      </w:r>
    </w:p>
    <w:p>
      <w:pPr>
        <w:spacing w:after="140" w:line="290"/>
      </w:pPr>
      <w:r>
        <w:rPr>
          <w:rFonts w:ascii="Calibri" w:cs="Calibri" w:eastAsia="Calibri" w:hAnsi="Calibri"/>
          <w:b/>
          <w:bCs/>
          <w:color w:val="1B2430"/>
          <w:sz w:val="20"/>
          <w:szCs w:val="20"/>
        </w:rPr>
        <w:t xml:space="preserve">3.5 No Third-Party Rights.</w:t>
      </w:r>
      <w:r>
        <w:rPr>
          <w:rFonts w:ascii="Calibri" w:cs="Calibri" w:eastAsia="Calibri" w:hAnsi="Calibri"/>
          <w:b w:val="false"/>
          <w:bCs w:val="false"/>
          <w:color w:val="1B2430"/>
          <w:sz w:val="20"/>
          <w:szCs w:val="20"/>
        </w:rPr>
        <w:t xml:space="preserve"> The obligations in this Section run only between the Members and confer no rights on any creditor of the Company.</w:t>
      </w:r>
    </w:p>
    <w:p>
      <w:pPr>
        <w:pStyle w:val="Heading2"/>
        <w:pBdr>
          <w:bottom w:val="single" w:color="B8963E" w:sz="4" w:space="3"/>
        </w:pBdr>
        <w:spacing w:after="120" w:before="300"/>
      </w:pPr>
      <w:r>
        <w:rPr>
          <w:rFonts w:ascii="Georgia" w:cs="Georgia" w:eastAsia="Georgia" w:hAnsi="Georgia"/>
          <w:b/>
          <w:bCs/>
          <w:color w:val="0B1F3A"/>
          <w:sz w:val="24"/>
          <w:szCs w:val="24"/>
        </w:rPr>
        <w:t xml:space="preserve">4. Distributions</w:t>
      </w:r>
    </w:p>
    <w:p>
      <w:pPr>
        <w:spacing w:after="140" w:line="290"/>
      </w:pPr>
      <w:r>
        <w:rPr>
          <w:rFonts w:ascii="Calibri" w:cs="Calibri" w:eastAsia="Calibri" w:hAnsi="Calibri"/>
          <w:b/>
          <w:bCs/>
          <w:color w:val="1B2430"/>
          <w:sz w:val="20"/>
          <w:szCs w:val="20"/>
        </w:rPr>
        <w:t xml:space="preserve">4.1 Distributable Cash.</w:t>
      </w:r>
      <w:r>
        <w:rPr>
          <w:rFonts w:ascii="Calibri" w:cs="Calibri" w:eastAsia="Calibri" w:hAnsi="Calibri"/>
          <w:b w:val="false"/>
          <w:bCs w:val="false"/>
          <w:color w:val="1B2430"/>
          <w:sz w:val="20"/>
          <w:szCs w:val="20"/>
        </w:rPr>
        <w:t xml:space="preserve"> The Manager shall determine Distributable Cash after providing for Company obligations and reasonable reserves, and shall distribute it to the Members in the following order of priority:</w:t>
      </w:r>
    </w:p>
    <w:p>
      <w:pPr>
        <w:spacing w:after="140" w:line="290"/>
      </w:pPr>
      <w:r>
        <w:rPr>
          <w:rFonts w:ascii="Calibri" w:cs="Calibri" w:eastAsia="Calibri" w:hAnsi="Calibri"/>
          <w:b w:val="false"/>
          <w:bCs w:val="false"/>
          <w:color w:val="1B2430"/>
          <w:sz w:val="20"/>
          <w:szCs w:val="20"/>
        </w:rPr>
        <w:t xml:space="preserve">(a) first, to the Members in proportion to their Unreturned Preferred Return, until each has received a cumulative, non-compounding return of 8% per annum on its Unreturned Capital;</w:t>
      </w:r>
    </w:p>
    <w:p>
      <w:pPr>
        <w:spacing w:after="140" w:line="290"/>
      </w:pPr>
      <w:r>
        <w:rPr>
          <w:rFonts w:ascii="Calibri" w:cs="Calibri" w:eastAsia="Calibri" w:hAnsi="Calibri"/>
          <w:b w:val="false"/>
          <w:bCs w:val="false"/>
          <w:color w:val="1B2430"/>
          <w:sz w:val="20"/>
          <w:szCs w:val="20"/>
        </w:rPr>
        <w:t xml:space="preserve">(b) second, to the Members in proportion to their Unreturned Capital, until each has received an amount equal to its Capital Contributions;</w:t>
      </w:r>
    </w:p>
    <w:p>
      <w:pPr>
        <w:spacing w:after="140" w:line="290"/>
      </w:pPr>
      <w:r>
        <w:rPr>
          <w:rFonts w:ascii="Calibri" w:cs="Calibri" w:eastAsia="Calibri" w:hAnsi="Calibri"/>
          <w:b w:val="false"/>
          <w:bCs w:val="false"/>
          <w:color w:val="1B2430"/>
          <w:sz w:val="20"/>
          <w:szCs w:val="20"/>
        </w:rPr>
        <w:t xml:space="preserve">(c) thereafter, 80% to the Members in proportion to their Units and the balance to Tessera Holdings LLC as a promote.</w:t>
      </w:r>
    </w:p>
    <w:p>
      <w:pPr>
        <w:spacing w:after="140" w:line="290"/>
      </w:pPr>
      <w:r>
        <w:rPr>
          <w:rFonts w:ascii="Calibri" w:cs="Calibri" w:eastAsia="Calibri" w:hAnsi="Calibri"/>
          <w:b/>
          <w:bCs/>
          <w:color w:val="1B2430"/>
          <w:sz w:val="20"/>
          <w:szCs w:val="20"/>
        </w:rPr>
        <w:t xml:space="preserve">4.2 Tax Distributions.</w:t>
      </w:r>
      <w:r>
        <w:rPr>
          <w:rFonts w:ascii="Calibri" w:cs="Calibri" w:eastAsia="Calibri" w:hAnsi="Calibri"/>
          <w:b w:val="false"/>
          <w:bCs w:val="false"/>
          <w:color w:val="1B2430"/>
          <w:sz w:val="20"/>
          <w:szCs w:val="20"/>
        </w:rPr>
        <w:t xml:space="preserve"> Notwithstanding Section 4.1, the Manager shall use commercially reasonable efforts to distribute to each Member, within 75 days after each taxable year, an amount at least equal to the estimated tax liability attributable to that Member's allocated share of Company taxable income, calculated at the Assumed Tax Rate. Tax Distributions are advances against, and reduce, amounts otherwise distributable under Section 4.1.</w:t>
      </w:r>
    </w:p>
    <w:p>
      <w:pPr>
        <w:spacing w:after="140" w:line="290"/>
      </w:pPr>
      <w:r>
        <w:rPr>
          <w:rFonts w:ascii="Calibri" w:cs="Calibri" w:eastAsia="Calibri" w:hAnsi="Calibri"/>
          <w:b/>
          <w:bCs/>
          <w:color w:val="1B2430"/>
          <w:sz w:val="20"/>
          <w:szCs w:val="20"/>
        </w:rPr>
        <w:t xml:space="preserve">4.3 Restrictions.</w:t>
      </w:r>
      <w:r>
        <w:rPr>
          <w:rFonts w:ascii="Calibri" w:cs="Calibri" w:eastAsia="Calibri" w:hAnsi="Calibri"/>
          <w:b w:val="false"/>
          <w:bCs w:val="false"/>
          <w:color w:val="1B2430"/>
          <w:sz w:val="20"/>
          <w:szCs w:val="20"/>
        </w:rPr>
        <w:t xml:space="preserve"> No distribution shall be made if it would render the Company unable to pay its debts as they become due, would violate the Delaware Limited Liability Company Act, or would breach any financing document to which the Company is a party.</w:t>
      </w:r>
    </w:p>
    <w:p>
      <w:pPr>
        <w:spacing w:after="140" w:line="290"/>
      </w:pPr>
      <w:r>
        <w:rPr>
          <w:rFonts w:ascii="Calibri" w:cs="Calibri" w:eastAsia="Calibri" w:hAnsi="Calibri"/>
          <w:b/>
          <w:bCs/>
          <w:color w:val="1B2430"/>
          <w:sz w:val="20"/>
          <w:szCs w:val="20"/>
        </w:rPr>
        <w:t xml:space="preserve">4.4 Withholding.</w:t>
      </w:r>
      <w:r>
        <w:rPr>
          <w:rFonts w:ascii="Calibri" w:cs="Calibri" w:eastAsia="Calibri" w:hAnsi="Calibri"/>
          <w:b w:val="false"/>
          <w:bCs w:val="false"/>
          <w:color w:val="1B2430"/>
          <w:sz w:val="20"/>
          <w:szCs w:val="20"/>
        </w:rPr>
        <w:t xml:space="preserve"> Any amount withheld or paid over by the Company in respect of a Member is treated as distributed to that Member.</w:t>
      </w:r>
    </w:p>
    <w:p>
      <w:pPr>
        <w:pStyle w:val="Heading2"/>
        <w:pBdr>
          <w:bottom w:val="single" w:color="B8963E" w:sz="4" w:space="3"/>
        </w:pBdr>
        <w:spacing w:after="120" w:before="300"/>
      </w:pPr>
      <w:r>
        <w:rPr>
          <w:rFonts w:ascii="Georgia" w:cs="Georgia" w:eastAsia="Georgia" w:hAnsi="Georgia"/>
          <w:b/>
          <w:bCs/>
          <w:color w:val="0B1F3A"/>
          <w:sz w:val="24"/>
          <w:szCs w:val="24"/>
        </w:rPr>
        <w:t xml:space="preserve">5. Management and Reserved Matters</w:t>
      </w:r>
    </w:p>
    <w:p>
      <w:pPr>
        <w:spacing w:after="140" w:line="290"/>
      </w:pPr>
      <w:r>
        <w:rPr>
          <w:rFonts w:ascii="Calibri" w:cs="Calibri" w:eastAsia="Calibri" w:hAnsi="Calibri"/>
          <w:b/>
          <w:bCs/>
          <w:color w:val="1B2430"/>
          <w:sz w:val="20"/>
          <w:szCs w:val="20"/>
        </w:rPr>
        <w:t xml:space="preserve">5.1 Management.</w:t>
      </w:r>
      <w:r>
        <w:rPr>
          <w:rFonts w:ascii="Calibri" w:cs="Calibri" w:eastAsia="Calibri" w:hAnsi="Calibri"/>
          <w:b w:val="false"/>
          <w:bCs w:val="false"/>
          <w:color w:val="1B2430"/>
          <w:sz w:val="20"/>
          <w:szCs w:val="20"/>
        </w:rPr>
        <w:t xml:space="preserve"> The Company is manager-managed. Tessera Holdings LLC is the Manager and, subject to Section 5.2, has full authority to manage the business and affairs of the Company.</w:t>
      </w:r>
    </w:p>
    <w:p>
      <w:pPr>
        <w:spacing w:after="140" w:line="290"/>
      </w:pPr>
      <w:r>
        <w:rPr>
          <w:rFonts w:ascii="Calibri" w:cs="Calibri" w:eastAsia="Calibri" w:hAnsi="Calibri"/>
          <w:b/>
          <w:bCs/>
          <w:color w:val="1B2430"/>
          <w:sz w:val="20"/>
          <w:szCs w:val="20"/>
        </w:rPr>
        <w:t xml:space="preserve">5.2 Reserved Matters.</w:t>
      </w:r>
      <w:r>
        <w:rPr>
          <w:rFonts w:ascii="Calibri" w:cs="Calibri" w:eastAsia="Calibri" w:hAnsi="Calibri"/>
          <w:b w:val="false"/>
          <w:bCs w:val="false"/>
          <w:color w:val="1B2430"/>
          <w:sz w:val="20"/>
          <w:szCs w:val="20"/>
        </w:rPr>
        <w:t xml:space="preserve"> Notwithstanding Section 5.1, the Company shall not, and the Manager shall not cause the Company to, take any of the following actions without the Approval of the Members:</w:t>
      </w:r>
    </w:p>
    <w:p>
      <w:pPr>
        <w:spacing w:after="140" w:line="290"/>
      </w:pPr>
      <w:r>
        <w:rPr>
          <w:rFonts w:ascii="Calibri" w:cs="Calibri" w:eastAsia="Calibri" w:hAnsi="Calibri"/>
          <w:b w:val="false"/>
          <w:bCs w:val="false"/>
          <w:color w:val="1B2430"/>
          <w:sz w:val="20"/>
          <w:szCs w:val="20"/>
        </w:rPr>
        <w:t xml:space="preserve">(a) sell, transfer, or otherwise dispose of all or substantially all of the Company's assets, or any Property;</w:t>
      </w:r>
    </w:p>
    <w:p>
      <w:pPr>
        <w:spacing w:after="140" w:line="290"/>
      </w:pPr>
      <w:r>
        <w:rPr>
          <w:rFonts w:ascii="Calibri" w:cs="Calibri" w:eastAsia="Calibri" w:hAnsi="Calibri"/>
          <w:b w:val="false"/>
          <w:bCs w:val="false"/>
          <w:color w:val="1B2430"/>
          <w:sz w:val="20"/>
          <w:szCs w:val="20"/>
        </w:rPr>
        <w:t xml:space="preserve">(b) incur, guarantee, refinance, or materially amend any indebtedness, or grant any lien or encumbrance over any Company asset;</w:t>
      </w:r>
    </w:p>
    <w:p>
      <w:pPr>
        <w:spacing w:after="140" w:line="290"/>
      </w:pPr>
      <w:r>
        <w:rPr>
          <w:rFonts w:ascii="Calibri" w:cs="Calibri" w:eastAsia="Calibri" w:hAnsi="Calibri"/>
          <w:b w:val="false"/>
          <w:bCs w:val="false"/>
          <w:color w:val="1B2430"/>
          <w:sz w:val="20"/>
          <w:szCs w:val="20"/>
        </w:rPr>
        <w:t xml:space="preserve">(c) admit any new Member, or issue, redeem, or reclassify any Units;</w:t>
      </w:r>
    </w:p>
    <w:p>
      <w:pPr>
        <w:spacing w:after="140" w:line="290"/>
      </w:pPr>
      <w:r>
        <w:rPr>
          <w:rFonts w:ascii="Calibri" w:cs="Calibri" w:eastAsia="Calibri" w:hAnsi="Calibri"/>
          <w:b w:val="false"/>
          <w:bCs w:val="false"/>
          <w:color w:val="1B2430"/>
          <w:sz w:val="20"/>
          <w:szCs w:val="20"/>
        </w:rPr>
        <w:t xml:space="preserve">(d) enter into, amend, or terminate any transaction with the Manager or any Affiliate of the Manager, or approve any compensation payable to them;</w:t>
      </w:r>
    </w:p>
    <w:p>
      <w:pPr>
        <w:spacing w:after="140" w:line="290"/>
      </w:pPr>
      <w:r>
        <w:rPr>
          <w:rFonts w:ascii="Calibri" w:cs="Calibri" w:eastAsia="Calibri" w:hAnsi="Calibri"/>
          <w:b w:val="false"/>
          <w:bCs w:val="false"/>
          <w:color w:val="1B2430"/>
          <w:sz w:val="20"/>
          <w:szCs w:val="20"/>
        </w:rPr>
        <w:t xml:space="preserve">(e) change the purpose of the Company, or commence any business outside that purpose;</w:t>
      </w:r>
    </w:p>
    <w:p>
      <w:pPr>
        <w:spacing w:after="140" w:line="290"/>
      </w:pPr>
      <w:r>
        <w:rPr>
          <w:rFonts w:ascii="Calibri" w:cs="Calibri" w:eastAsia="Calibri" w:hAnsi="Calibri"/>
          <w:b w:val="false"/>
          <w:bCs w:val="false"/>
          <w:color w:val="1B2430"/>
          <w:sz w:val="20"/>
          <w:szCs w:val="20"/>
        </w:rPr>
        <w:t xml:space="preserve">(f) make any distribution other than in accordance with this Agreement;</w:t>
      </w:r>
    </w:p>
    <w:p>
      <w:pPr>
        <w:spacing w:after="140" w:line="290"/>
      </w:pPr>
      <w:r>
        <w:rPr>
          <w:rFonts w:ascii="Calibri" w:cs="Calibri" w:eastAsia="Calibri" w:hAnsi="Calibri"/>
          <w:b w:val="false"/>
          <w:bCs w:val="false"/>
          <w:color w:val="1B2430"/>
          <w:sz w:val="20"/>
          <w:szCs w:val="20"/>
        </w:rPr>
        <w:t xml:space="preserve">(g) commence, settle, or compromise any litigation involving an amount exceeding $50,000;</w:t>
      </w:r>
    </w:p>
    <w:p>
      <w:pPr>
        <w:spacing w:after="140" w:line="290"/>
      </w:pPr>
      <w:r>
        <w:rPr>
          <w:rFonts w:ascii="Calibri" w:cs="Calibri" w:eastAsia="Calibri" w:hAnsi="Calibri"/>
          <w:b w:val="false"/>
          <w:bCs w:val="false"/>
          <w:color w:val="1B2430"/>
          <w:sz w:val="20"/>
          <w:szCs w:val="20"/>
        </w:rPr>
        <w:t xml:space="preserve">(h) approve or materially deviate from the annual budget;</w:t>
      </w:r>
    </w:p>
    <w:p>
      <w:pPr>
        <w:spacing w:after="140" w:line="290"/>
      </w:pPr>
      <w:r>
        <w:rPr>
          <w:rFonts w:ascii="Calibri" w:cs="Calibri" w:eastAsia="Calibri" w:hAnsi="Calibri"/>
          <w:b w:val="false"/>
          <w:bCs w:val="false"/>
          <w:color w:val="1B2430"/>
          <w:sz w:val="20"/>
          <w:szCs w:val="20"/>
        </w:rPr>
        <w:t xml:space="preserve">(i) file for bankruptcy, dissolve, or wind up the Company; or</w:t>
      </w:r>
    </w:p>
    <w:p>
      <w:pPr>
        <w:spacing w:after="140" w:line="290"/>
      </w:pPr>
      <w:r>
        <w:rPr>
          <w:rFonts w:ascii="Calibri" w:cs="Calibri" w:eastAsia="Calibri" w:hAnsi="Calibri"/>
          <w:b w:val="false"/>
          <w:bCs w:val="false"/>
          <w:color w:val="1B2430"/>
          <w:sz w:val="20"/>
          <w:szCs w:val="20"/>
        </w:rPr>
        <w:t xml:space="preserve">(j) amend this Agreement or the Certificate of Formation.</w:t>
      </w:r>
    </w:p>
    <w:p>
      <w:pPr>
        <w:spacing w:after="140" w:line="290"/>
      </w:pPr>
      <w:r>
        <w:rPr>
          <w:rFonts w:ascii="Calibri" w:cs="Calibri" w:eastAsia="Calibri" w:hAnsi="Calibri"/>
          <w:b/>
          <w:bCs/>
          <w:color w:val="1B2430"/>
          <w:sz w:val="20"/>
          <w:szCs w:val="20"/>
        </w:rPr>
        <w:t xml:space="preserve">5.3 Approval of the Members.</w:t>
      </w:r>
      <w:r>
        <w:rPr>
          <w:rFonts w:ascii="Calibri" w:cs="Calibri" w:eastAsia="Calibri" w:hAnsi="Calibri"/>
          <w:b w:val="false"/>
          <w:bCs w:val="false"/>
          <w:color w:val="1B2430"/>
          <w:sz w:val="20"/>
          <w:szCs w:val="20"/>
        </w:rPr>
        <w:t xml:space="preserve"> "Approval of the Members" means the written approval of Members holding at least 75% of the Units, provided that any action under Section 5.2(d) requires the approval of a majority of the Units held by Members other than the Manager and its Affiliates.</w:t>
      </w:r>
    </w:p>
    <w:p>
      <w:pPr>
        <w:spacing w:after="140" w:line="290"/>
      </w:pPr>
      <w:r>
        <w:rPr>
          <w:rFonts w:ascii="Calibri" w:cs="Calibri" w:eastAsia="Calibri" w:hAnsi="Calibri"/>
          <w:b/>
          <w:bCs/>
          <w:color w:val="1B2430"/>
          <w:sz w:val="20"/>
          <w:szCs w:val="20"/>
        </w:rPr>
        <w:t xml:space="preserve">5.4 Standard of Care.</w:t>
      </w:r>
      <w:r>
        <w:rPr>
          <w:rFonts w:ascii="Calibri" w:cs="Calibri" w:eastAsia="Calibri" w:hAnsi="Calibri"/>
          <w:b w:val="false"/>
          <w:bCs w:val="false"/>
          <w:color w:val="1B2430"/>
          <w:sz w:val="20"/>
          <w:szCs w:val="20"/>
        </w:rPr>
        <w:t xml:space="preserve"> The Manager shall discharge its duties in good faith, with the care an ordinarily prudent person in a like position would exercise, and in a manner it reasonably believes to be in the best interests of the Company.</w:t>
      </w:r>
    </w:p>
    <w:p>
      <w:pPr>
        <w:spacing w:after="140" w:line="290"/>
      </w:pPr>
      <w:r>
        <w:rPr>
          <w:rFonts w:ascii="Calibri" w:cs="Calibri" w:eastAsia="Calibri" w:hAnsi="Calibri"/>
          <w:b/>
          <w:bCs/>
          <w:color w:val="1B2430"/>
          <w:sz w:val="20"/>
          <w:szCs w:val="20"/>
        </w:rPr>
        <w:t xml:space="preserve">5.5 Removal.</w:t>
      </w:r>
      <w:r>
        <w:rPr>
          <w:rFonts w:ascii="Calibri" w:cs="Calibri" w:eastAsia="Calibri" w:hAnsi="Calibri"/>
          <w:b w:val="false"/>
          <w:bCs w:val="false"/>
          <w:color w:val="1B2430"/>
          <w:sz w:val="20"/>
          <w:szCs w:val="20"/>
        </w:rPr>
        <w:t xml:space="preserve"> The Manager may be removed for Cause by the Approval of the Members, excluding for this purpose any Units held by the Manager and its Affiliates. "Cause" means fraud, wilful misconduct, gross negligence, a material breach of this Agreement that remains uncured thirty (30) days after written notice, or a felony conviction relating to the business of the Company.</w:t>
      </w:r>
    </w:p>
    <w:p>
      <w:pPr>
        <w:pStyle w:val="Heading2"/>
        <w:pBdr>
          <w:bottom w:val="single" w:color="B8963E" w:sz="4" w:space="3"/>
        </w:pBdr>
        <w:spacing w:after="120" w:before="300"/>
      </w:pPr>
      <w:r>
        <w:rPr>
          <w:rFonts w:ascii="Georgia" w:cs="Georgia" w:eastAsia="Georgia" w:hAnsi="Georgia"/>
          <w:b/>
          <w:bCs/>
          <w:color w:val="0B1F3A"/>
          <w:sz w:val="24"/>
          <w:szCs w:val="24"/>
        </w:rPr>
        <w:t xml:space="preserve">6. Transfer Restrictions</w:t>
      </w:r>
    </w:p>
    <w:p>
      <w:pPr>
        <w:spacing w:after="140" w:line="290"/>
      </w:pPr>
      <w:r>
        <w:rPr>
          <w:rFonts w:ascii="Calibri" w:cs="Calibri" w:eastAsia="Calibri" w:hAnsi="Calibri"/>
          <w:b/>
          <w:bCs/>
          <w:color w:val="1B2430"/>
          <w:sz w:val="20"/>
          <w:szCs w:val="20"/>
        </w:rPr>
        <w:t xml:space="preserve">6.1 General Restriction.</w:t>
      </w:r>
      <w:r>
        <w:rPr>
          <w:rFonts w:ascii="Calibri" w:cs="Calibri" w:eastAsia="Calibri" w:hAnsi="Calibri"/>
          <w:b w:val="false"/>
          <w:bCs w:val="false"/>
          <w:color w:val="1B2430"/>
          <w:sz w:val="20"/>
          <w:szCs w:val="20"/>
        </w:rPr>
        <w:t xml:space="preserve"> No Member may Transfer all or any part of its Units except in accordance with this Section. Any purported Transfer in violation of this Section is void and shall not be recognised by the Company.</w:t>
      </w:r>
    </w:p>
    <w:p>
      <w:pPr>
        <w:spacing w:after="140" w:line="290"/>
      </w:pPr>
      <w:r>
        <w:rPr>
          <w:rFonts w:ascii="Calibri" w:cs="Calibri" w:eastAsia="Calibri" w:hAnsi="Calibri"/>
          <w:b/>
          <w:bCs/>
          <w:color w:val="1B2430"/>
          <w:sz w:val="20"/>
          <w:szCs w:val="20"/>
        </w:rPr>
        <w:t xml:space="preserve">6.2 Permitted Transfers.</w:t>
      </w:r>
      <w:r>
        <w:rPr>
          <w:rFonts w:ascii="Calibri" w:cs="Calibri" w:eastAsia="Calibri" w:hAnsi="Calibri"/>
          <w:b w:val="false"/>
          <w:bCs w:val="false"/>
          <w:color w:val="1B2430"/>
          <w:sz w:val="20"/>
          <w:szCs w:val="20"/>
        </w:rPr>
        <w:t xml:space="preserve"> A Member may Transfer Units to a Permitted Transferee without complying with Section 6.3, provided the transferee executes a joinder to this Agreement. "Permitted Transferee" means, for an individual Member, a revocable trust for estate-planning purposes of which that Member is trustee, and, for an entity Member, an entity wholly owned by it or by its ultimate beneficial owners.</w:t>
      </w:r>
    </w:p>
    <w:p>
      <w:pPr>
        <w:spacing w:after="140" w:line="290"/>
      </w:pPr>
      <w:r>
        <w:rPr>
          <w:rFonts w:ascii="Calibri" w:cs="Calibri" w:eastAsia="Calibri" w:hAnsi="Calibri"/>
          <w:b/>
          <w:bCs/>
          <w:color w:val="1B2430"/>
          <w:sz w:val="20"/>
          <w:szCs w:val="20"/>
        </w:rPr>
        <w:t xml:space="preserve">6.3 Right of First Refusal.</w:t>
      </w:r>
      <w:r>
        <w:rPr>
          <w:rFonts w:ascii="Calibri" w:cs="Calibri" w:eastAsia="Calibri" w:hAnsi="Calibri"/>
          <w:b w:val="false"/>
          <w:bCs w:val="false"/>
          <w:color w:val="1B2430"/>
          <w:sz w:val="20"/>
          <w:szCs w:val="20"/>
        </w:rPr>
        <w:t xml:space="preserve"> A Member proposing to Transfer Units to any other person (the "Selling Member") shall first deliver written notice to the Company and the other Members stating the number of Units, the price, the identity of the proposed transferee, and all material terms, together with a copy of any written offer. The other Members may elect, within 45 days, to purchase all (but not less than all) of the offered Units on those terms, pro rata among those electing. If the right is not exercised in full within that period, the Selling Member may complete the Transfer to the named transferee, on terms no more favourable to the transferee than those stated, within 60 days, after which the restriction reapplies.</w:t>
      </w:r>
    </w:p>
    <w:p>
      <w:pPr>
        <w:spacing w:after="140" w:line="290"/>
      </w:pPr>
      <w:r>
        <w:rPr>
          <w:rFonts w:ascii="Calibri" w:cs="Calibri" w:eastAsia="Calibri" w:hAnsi="Calibri"/>
          <w:b/>
          <w:bCs/>
          <w:color w:val="1B2430"/>
          <w:sz w:val="20"/>
          <w:szCs w:val="20"/>
        </w:rPr>
        <w:t xml:space="preserve">6.4 Conditions to Any Transfer.</w:t>
      </w:r>
      <w:r>
        <w:rPr>
          <w:rFonts w:ascii="Calibri" w:cs="Calibri" w:eastAsia="Calibri" w:hAnsi="Calibri"/>
          <w:b w:val="false"/>
          <w:bCs w:val="false"/>
          <w:color w:val="1B2430"/>
          <w:sz w:val="20"/>
          <w:szCs w:val="20"/>
        </w:rPr>
        <w:t xml:space="preserve"> No Transfer is effective unless the transferee executes a joinder to this Agreement, the Transfer does not violate applicable securities laws, the Transfer does not cause a termination of the Company for tax purposes or a default under any financing document, and, if the Company holds any licence or permit, the Transfer has received any required regulatory approval.</w:t>
      </w:r>
    </w:p>
    <w:p>
      <w:pPr>
        <w:spacing w:after="140" w:line="290"/>
      </w:pPr>
      <w:r>
        <w:rPr>
          <w:rFonts w:ascii="Calibri" w:cs="Calibri" w:eastAsia="Calibri" w:hAnsi="Calibri"/>
          <w:b/>
          <w:bCs/>
          <w:color w:val="1B2430"/>
          <w:sz w:val="20"/>
          <w:szCs w:val="20"/>
        </w:rPr>
        <w:t xml:space="preserve">6.5 Admission.</w:t>
      </w:r>
      <w:r>
        <w:rPr>
          <w:rFonts w:ascii="Calibri" w:cs="Calibri" w:eastAsia="Calibri" w:hAnsi="Calibri"/>
          <w:b w:val="false"/>
          <w:bCs w:val="false"/>
          <w:color w:val="1B2430"/>
          <w:sz w:val="20"/>
          <w:szCs w:val="20"/>
        </w:rPr>
        <w:t xml:space="preserve"> A transferee becomes a Member only on satisfying Section 6.4 and, in the case of a Transfer other than to a Permitted Transferee, on the Approval of the Members. A transferee who is not admitted as a Member holds only an economic interest, with no voting, consent, information, or management rights.</w:t>
      </w:r>
    </w:p>
    <w:p>
      <w:pPr>
        <w:pStyle w:val="Heading2"/>
        <w:pBdr>
          <w:bottom w:val="single" w:color="B8963E" w:sz="4" w:space="3"/>
        </w:pBdr>
        <w:spacing w:after="120" w:before="300"/>
      </w:pPr>
      <w:r>
        <w:rPr>
          <w:rFonts w:ascii="Georgia" w:cs="Georgia" w:eastAsia="Georgia" w:hAnsi="Georgia"/>
          <w:b/>
          <w:bCs/>
          <w:color w:val="0B1F3A"/>
          <w:sz w:val="24"/>
          <w:szCs w:val="24"/>
        </w:rPr>
        <w:t xml:space="preserve">7. Deadlock and Buy-Sell</w:t>
      </w:r>
    </w:p>
    <w:p>
      <w:pPr>
        <w:spacing w:after="140" w:line="290"/>
      </w:pPr>
      <w:r>
        <w:rPr>
          <w:rFonts w:ascii="Calibri" w:cs="Calibri" w:eastAsia="Calibri" w:hAnsi="Calibri"/>
          <w:b/>
          <w:bCs/>
          <w:color w:val="1B2430"/>
          <w:sz w:val="20"/>
          <w:szCs w:val="20"/>
        </w:rPr>
        <w:t xml:space="preserve">7.1 Deadlock.</w:t>
      </w:r>
      <w:r>
        <w:rPr>
          <w:rFonts w:ascii="Calibri" w:cs="Calibri" w:eastAsia="Calibri" w:hAnsi="Calibri"/>
          <w:b w:val="false"/>
          <w:bCs w:val="false"/>
          <w:color w:val="1B2430"/>
          <w:sz w:val="20"/>
          <w:szCs w:val="20"/>
        </w:rPr>
        <w:t xml:space="preserve"> A "Deadlock" occurs if the Members fail to reach the Approval of the Members on a Reserved Matter after two duly-called meetings held at least 15 days apart.</w:t>
      </w:r>
    </w:p>
    <w:p>
      <w:pPr>
        <w:spacing w:after="140" w:line="290"/>
      </w:pPr>
      <w:r>
        <w:rPr>
          <w:rFonts w:ascii="Calibri" w:cs="Calibri" w:eastAsia="Calibri" w:hAnsi="Calibri"/>
          <w:b/>
          <w:bCs/>
          <w:color w:val="1B2430"/>
          <w:sz w:val="20"/>
          <w:szCs w:val="20"/>
        </w:rPr>
        <w:t xml:space="preserve">7.2 Escalation.</w:t>
      </w:r>
      <w:r>
        <w:rPr>
          <w:rFonts w:ascii="Calibri" w:cs="Calibri" w:eastAsia="Calibri" w:hAnsi="Calibri"/>
          <w:b w:val="false"/>
          <w:bCs w:val="false"/>
          <w:color w:val="1B2430"/>
          <w:sz w:val="20"/>
          <w:szCs w:val="20"/>
        </w:rPr>
        <w:t xml:space="preserve"> On a Deadlock, the Members shall first refer the matter to their respective principals for good-faith negotiation for thirty (30) days, and then to non-binding mediation for a further thirty (30) days.</w:t>
      </w:r>
    </w:p>
    <w:p>
      <w:pPr>
        <w:spacing w:after="140" w:line="290"/>
      </w:pPr>
      <w:r>
        <w:rPr>
          <w:rFonts w:ascii="Calibri" w:cs="Calibri" w:eastAsia="Calibri" w:hAnsi="Calibri"/>
          <w:b/>
          <w:bCs/>
          <w:color w:val="1B2430"/>
          <w:sz w:val="20"/>
          <w:szCs w:val="20"/>
        </w:rPr>
        <w:t xml:space="preserve">7.3 Buy-Sell.</w:t>
      </w:r>
      <w:r>
        <w:rPr>
          <w:rFonts w:ascii="Calibri" w:cs="Calibri" w:eastAsia="Calibri" w:hAnsi="Calibri"/>
          <w:b w:val="false"/>
          <w:bCs w:val="false"/>
          <w:color w:val="1B2430"/>
          <w:sz w:val="20"/>
          <w:szCs w:val="20"/>
        </w:rPr>
        <w:t xml:space="preserve"> If a Deadlock remains unresolved after Section 7.2, any Member (the "Offering Member") may deliver to the other Members a written notice stating a price per Unit. Each receiving Member shall, within 30 days, elect either to sell all of its Units to the Offering Member at that price, or to purchase all of the Offering Member's Units at that price. A receiving Member that does not respond within that period is deemed to have elected to sell.</w:t>
      </w:r>
    </w:p>
    <w:p>
      <w:pPr>
        <w:spacing w:after="140" w:line="290"/>
      </w:pPr>
      <w:r>
        <w:rPr>
          <w:rFonts w:ascii="Calibri" w:cs="Calibri" w:eastAsia="Calibri" w:hAnsi="Calibri"/>
          <w:b/>
          <w:bCs/>
          <w:color w:val="1B2430"/>
          <w:sz w:val="20"/>
          <w:szCs w:val="20"/>
        </w:rPr>
        <w:t xml:space="preserve">7.4 Closing.</w:t>
      </w:r>
      <w:r>
        <w:rPr>
          <w:rFonts w:ascii="Calibri" w:cs="Calibri" w:eastAsia="Calibri" w:hAnsi="Calibri"/>
          <w:b w:val="false"/>
          <w:bCs w:val="false"/>
          <w:color w:val="1B2430"/>
          <w:sz w:val="20"/>
          <w:szCs w:val="20"/>
        </w:rPr>
        <w:t xml:space="preserve"> The purchase shall close within 60 days of the election, in cash, against delivery of the Units free of encumbrances. At closing, the selling Member is released from all guarantees of Company obligations, and the purchasing Member shall use commercially reasonable efforts to obtain that release or, failing it, shall indemnify the selling Member against them.</w:t>
      </w:r>
    </w:p>
    <w:p>
      <w:pPr>
        <w:spacing w:after="140" w:line="290"/>
      </w:pPr>
      <w:r>
        <w:rPr>
          <w:rFonts w:ascii="Calibri" w:cs="Calibri" w:eastAsia="Calibri" w:hAnsi="Calibri"/>
          <w:b/>
          <w:bCs/>
          <w:color w:val="1B2430"/>
          <w:sz w:val="20"/>
          <w:szCs w:val="20"/>
        </w:rPr>
        <w:t xml:space="preserve">7.5 Failure to Close.</w:t>
      </w:r>
      <w:r>
        <w:rPr>
          <w:rFonts w:ascii="Calibri" w:cs="Calibri" w:eastAsia="Calibri" w:hAnsi="Calibri"/>
          <w:b w:val="false"/>
          <w:bCs w:val="false"/>
          <w:color w:val="1B2430"/>
          <w:sz w:val="20"/>
          <w:szCs w:val="20"/>
        </w:rPr>
        <w:t xml:space="preserve"> If the purchasing Member fails to close, the other Member may, at its option, purchase that Member's Units at 80% of the stated price, or dissolve the Company.</w:t>
      </w:r>
    </w:p>
    <w:p>
      <w:pPr>
        <w:pStyle w:val="Heading2"/>
        <w:pBdr>
          <w:bottom w:val="single" w:color="B8963E" w:sz="4" w:space="3"/>
        </w:pBdr>
        <w:spacing w:after="120" w:before="300"/>
      </w:pPr>
      <w:r>
        <w:rPr>
          <w:rFonts w:ascii="Georgia" w:cs="Georgia" w:eastAsia="Georgia" w:hAnsi="Georgia"/>
          <w:b/>
          <w:bCs/>
          <w:color w:val="0B1F3A"/>
          <w:sz w:val="24"/>
          <w:szCs w:val="24"/>
        </w:rPr>
        <w:t xml:space="preserve">8. Duties, Exculpation, and Indemnification</w:t>
      </w:r>
    </w:p>
    <w:p>
      <w:pPr>
        <w:spacing w:after="140" w:line="290"/>
      </w:pPr>
      <w:r>
        <w:rPr>
          <w:rFonts w:ascii="Calibri" w:cs="Calibri" w:eastAsia="Calibri" w:hAnsi="Calibri"/>
          <w:b/>
          <w:bCs/>
          <w:color w:val="1B2430"/>
          <w:sz w:val="20"/>
          <w:szCs w:val="20"/>
        </w:rPr>
        <w:t xml:space="preserve">8.1 Duties.</w:t>
      </w:r>
      <w:r>
        <w:rPr>
          <w:rFonts w:ascii="Calibri" w:cs="Calibri" w:eastAsia="Calibri" w:hAnsi="Calibri"/>
          <w:b w:val="false"/>
          <w:bCs w:val="false"/>
          <w:color w:val="1B2430"/>
          <w:sz w:val="20"/>
          <w:szCs w:val="20"/>
        </w:rPr>
        <w:t xml:space="preserve"> To the fullest extent permitted by the Delaware Limited Liability Company Act, the duties of the Manager and each Member are limited to those expressly set out in this Agreement and the implied contractual covenant of good faith and fair dealing. Nothing in this Section waives the duty of loyalty in respect of any transaction between the Company and the Manager or any of its Affiliates, which remains subject to the Reserved Matters.</w:t>
      </w:r>
    </w:p>
    <w:p>
      <w:pPr>
        <w:spacing w:after="140" w:line="290"/>
      </w:pPr>
      <w:r>
        <w:rPr>
          <w:rFonts w:ascii="Calibri" w:cs="Calibri" w:eastAsia="Calibri" w:hAnsi="Calibri"/>
          <w:b/>
          <w:bCs/>
          <w:color w:val="1B2430"/>
          <w:sz w:val="20"/>
          <w:szCs w:val="20"/>
        </w:rPr>
        <w:t xml:space="preserve">8.2 Other Activities.</w:t>
      </w:r>
      <w:r>
        <w:rPr>
          <w:rFonts w:ascii="Calibri" w:cs="Calibri" w:eastAsia="Calibri" w:hAnsi="Calibri"/>
          <w:b w:val="false"/>
          <w:bCs w:val="false"/>
          <w:color w:val="1B2430"/>
          <w:sz w:val="20"/>
          <w:szCs w:val="20"/>
        </w:rPr>
        <w:t xml:space="preserve"> Each Member and the Manager may engage in other business activities, including activities competitive with the Company, and neither the Company nor any other Member has any right in those activities, provided that no Member or Manager may divert to itself an opportunity that the Company has begun to pursue or that was presented to it in its capacity as Member or Manager.</w:t>
      </w:r>
    </w:p>
    <w:p>
      <w:pPr>
        <w:spacing w:after="140" w:line="290"/>
      </w:pPr>
      <w:r>
        <w:rPr>
          <w:rFonts w:ascii="Calibri" w:cs="Calibri" w:eastAsia="Calibri" w:hAnsi="Calibri"/>
          <w:b/>
          <w:bCs/>
          <w:color w:val="1B2430"/>
          <w:sz w:val="20"/>
          <w:szCs w:val="20"/>
        </w:rPr>
        <w:t xml:space="preserve">8.3 Exculpation.</w:t>
      </w:r>
      <w:r>
        <w:rPr>
          <w:rFonts w:ascii="Calibri" w:cs="Calibri" w:eastAsia="Calibri" w:hAnsi="Calibri"/>
          <w:b w:val="false"/>
          <w:bCs w:val="false"/>
          <w:color w:val="1B2430"/>
          <w:sz w:val="20"/>
          <w:szCs w:val="20"/>
        </w:rPr>
        <w:t xml:space="preserve"> No Manager or Member is liable to the Company or any other Member for any act or omission taken in good faith and reasonably believed to be within the scope of authority conferred by this Agreement, except for fraud, wilful misconduct, gross negligence, or a knowing violation of law.</w:t>
      </w:r>
    </w:p>
    <w:p>
      <w:pPr>
        <w:spacing w:after="140" w:line="290"/>
      </w:pPr>
      <w:r>
        <w:rPr>
          <w:rFonts w:ascii="Calibri" w:cs="Calibri" w:eastAsia="Calibri" w:hAnsi="Calibri"/>
          <w:b/>
          <w:bCs/>
          <w:color w:val="1B2430"/>
          <w:sz w:val="20"/>
          <w:szCs w:val="20"/>
        </w:rPr>
        <w:t xml:space="preserve">8.4 Indemnification.</w:t>
      </w:r>
      <w:r>
        <w:rPr>
          <w:rFonts w:ascii="Calibri" w:cs="Calibri" w:eastAsia="Calibri" w:hAnsi="Calibri"/>
          <w:b w:val="false"/>
          <w:bCs w:val="false"/>
          <w:color w:val="1B2430"/>
          <w:sz w:val="20"/>
          <w:szCs w:val="20"/>
        </w:rPr>
        <w:t xml:space="preserve"> The Company shall indemnify each Manager and Member against any loss, claim, or expense (including reasonable attorneys' fees) arising from its service to the Company, except to the extent arising from conduct described in Section 8.3. Indemnification is payable only from Company assets, and no Member has any personal obligation in respect of it.</w:t>
      </w:r>
    </w:p>
    <w:p>
      <w:pPr>
        <w:spacing w:after="140" w:line="290"/>
      </w:pPr>
      <w:r>
        <w:rPr>
          <w:rFonts w:ascii="Calibri" w:cs="Calibri" w:eastAsia="Calibri" w:hAnsi="Calibri"/>
          <w:b/>
          <w:bCs/>
          <w:color w:val="1B2430"/>
          <w:sz w:val="20"/>
          <w:szCs w:val="20"/>
        </w:rPr>
        <w:t xml:space="preserve">8.5 Advancement.</w:t>
      </w:r>
      <w:r>
        <w:rPr>
          <w:rFonts w:ascii="Calibri" w:cs="Calibri" w:eastAsia="Calibri" w:hAnsi="Calibri"/>
          <w:b w:val="false"/>
          <w:bCs w:val="false"/>
          <w:color w:val="1B2430"/>
          <w:sz w:val="20"/>
          <w:szCs w:val="20"/>
        </w:rPr>
        <w:t xml:space="preserve"> The Company may advance expenses on receipt of a written undertaking to repay them if it is ultimately determined that the person was not entitled to indemnification.</w:t>
      </w:r>
    </w:p>
    <w:p>
      <w:pPr>
        <w:pStyle w:val="Heading2"/>
        <w:pBdr>
          <w:bottom w:val="single" w:color="B8963E" w:sz="4" w:space="3"/>
        </w:pBdr>
        <w:spacing w:after="120" w:before="300"/>
      </w:pPr>
      <w:r>
        <w:rPr>
          <w:rFonts w:ascii="Georgia" w:cs="Georgia" w:eastAsia="Georgia" w:hAnsi="Georgia"/>
          <w:b/>
          <w:bCs/>
          <w:color w:val="0B1F3A"/>
          <w:sz w:val="24"/>
          <w:szCs w:val="24"/>
        </w:rPr>
        <w:t xml:space="preserve">9. Books, Records, and Reporting</w:t>
      </w:r>
    </w:p>
    <w:p>
      <w:pPr>
        <w:spacing w:after="140" w:line="290"/>
      </w:pPr>
      <w:r>
        <w:rPr>
          <w:rFonts w:ascii="Calibri" w:cs="Calibri" w:eastAsia="Calibri" w:hAnsi="Calibri"/>
          <w:b/>
          <w:bCs/>
          <w:color w:val="1B2430"/>
          <w:sz w:val="20"/>
          <w:szCs w:val="20"/>
        </w:rPr>
        <w:t xml:space="preserve">9.1 Books and Records.</w:t>
      </w:r>
      <w:r>
        <w:rPr>
          <w:rFonts w:ascii="Calibri" w:cs="Calibri" w:eastAsia="Calibri" w:hAnsi="Calibri"/>
          <w:b w:val="false"/>
          <w:bCs w:val="false"/>
          <w:color w:val="1B2430"/>
          <w:sz w:val="20"/>
          <w:szCs w:val="20"/>
        </w:rPr>
        <w:t xml:space="preserve"> The Company shall maintain complete and accurate books and records at its principal office, in accordance with GAAP consistently applied.</w:t>
      </w:r>
    </w:p>
    <w:p>
      <w:pPr>
        <w:spacing w:after="140" w:line="290"/>
      </w:pPr>
      <w:r>
        <w:rPr>
          <w:rFonts w:ascii="Calibri" w:cs="Calibri" w:eastAsia="Calibri" w:hAnsi="Calibri"/>
          <w:b/>
          <w:bCs/>
          <w:color w:val="1B2430"/>
          <w:sz w:val="20"/>
          <w:szCs w:val="20"/>
        </w:rPr>
        <w:t xml:space="preserve">9.2 Inspection.</w:t>
      </w:r>
      <w:r>
        <w:rPr>
          <w:rFonts w:ascii="Calibri" w:cs="Calibri" w:eastAsia="Calibri" w:hAnsi="Calibri"/>
          <w:b w:val="false"/>
          <w:bCs w:val="false"/>
          <w:color w:val="1B2430"/>
          <w:sz w:val="20"/>
          <w:szCs w:val="20"/>
        </w:rPr>
        <w:t xml:space="preserve"> Each Member may, on reasonable written notice and during normal business hours, inspect and copy the Company's books and records for any purpose reasonably related to its interest as a Member, at its own expense.</w:t>
      </w:r>
    </w:p>
    <w:p>
      <w:pPr>
        <w:spacing w:after="140" w:line="290"/>
      </w:pPr>
      <w:r>
        <w:rPr>
          <w:rFonts w:ascii="Calibri" w:cs="Calibri" w:eastAsia="Calibri" w:hAnsi="Calibri"/>
          <w:b/>
          <w:bCs/>
          <w:color w:val="1B2430"/>
          <w:sz w:val="20"/>
          <w:szCs w:val="20"/>
        </w:rPr>
        <w:t xml:space="preserve">9.3 Reporting.</w:t>
      </w:r>
      <w:r>
        <w:rPr>
          <w:rFonts w:ascii="Calibri" w:cs="Calibri" w:eastAsia="Calibri" w:hAnsi="Calibri"/>
          <w:b w:val="false"/>
          <w:bCs w:val="false"/>
          <w:color w:val="1B2430"/>
          <w:sz w:val="20"/>
          <w:szCs w:val="20"/>
        </w:rPr>
        <w:t xml:space="preserve"> The Manager shall deliver to each Member: (a) within 30 days after each fiscal quarter, unaudited financial statements and a brief narrative of operations; (b) within 90 days after each fiscal year, annual financial statements; and (c) prompt notice of any event that could reasonably be expected to have a material adverse effect on the Company, including any default, litigation, regulatory action, or casualty.</w:t>
      </w:r>
    </w:p>
    <w:p>
      <w:pPr>
        <w:spacing w:after="140" w:line="290"/>
      </w:pPr>
      <w:r>
        <w:rPr>
          <w:rFonts w:ascii="Calibri" w:cs="Calibri" w:eastAsia="Calibri" w:hAnsi="Calibri"/>
          <w:b/>
          <w:bCs/>
          <w:color w:val="1B2430"/>
          <w:sz w:val="20"/>
          <w:szCs w:val="20"/>
        </w:rPr>
        <w:t xml:space="preserve">9.4 Tax Information.</w:t>
      </w:r>
      <w:r>
        <w:rPr>
          <w:rFonts w:ascii="Calibri" w:cs="Calibri" w:eastAsia="Calibri" w:hAnsi="Calibri"/>
          <w:b w:val="false"/>
          <w:bCs w:val="false"/>
          <w:color w:val="1B2430"/>
          <w:sz w:val="20"/>
          <w:szCs w:val="20"/>
        </w:rPr>
        <w:t xml:space="preserve"> The Manager shall deliver to each Member the information necessary to prepare its tax returns, including Schedule K-1, within 75 days after the end of each fiscal year, and shall provide estimates sufficient for quarterly estimated tax payments on request.</w:t>
      </w:r>
    </w:p>
    <w:p>
      <w:pPr>
        <w:spacing w:after="140" w:line="290"/>
      </w:pPr>
      <w:r>
        <w:rPr>
          <w:rFonts w:ascii="Calibri" w:cs="Calibri" w:eastAsia="Calibri" w:hAnsi="Calibri"/>
          <w:b/>
          <w:bCs/>
          <w:color w:val="1B2430"/>
          <w:sz w:val="20"/>
          <w:szCs w:val="20"/>
        </w:rPr>
        <w:t xml:space="preserve">9.5 Confidentiality.</w:t>
      </w:r>
      <w:r>
        <w:rPr>
          <w:rFonts w:ascii="Calibri" w:cs="Calibri" w:eastAsia="Calibri" w:hAnsi="Calibri"/>
          <w:b w:val="false"/>
          <w:bCs w:val="false"/>
          <w:color w:val="1B2430"/>
          <w:sz w:val="20"/>
          <w:szCs w:val="20"/>
        </w:rPr>
        <w:t xml:space="preserve"> Information provided under this Section is confidential and may be used only in connection with the Member's interest in the Company.</w:t>
      </w:r>
    </w:p>
    <w:p>
      <w:pPr>
        <w:pStyle w:val="Heading2"/>
        <w:pBdr>
          <w:bottom w:val="single" w:color="B8963E" w:sz="4" w:space="3"/>
        </w:pBdr>
        <w:spacing w:after="120" w:before="300"/>
      </w:pPr>
      <w:r>
        <w:rPr>
          <w:rFonts w:ascii="Georgia" w:cs="Georgia" w:eastAsia="Georgia" w:hAnsi="Georgia"/>
          <w:b/>
          <w:bCs/>
          <w:color w:val="0B1F3A"/>
          <w:sz w:val="24"/>
          <w:szCs w:val="24"/>
        </w:rPr>
        <w:t xml:space="preserve">10. Confidentiality</w:t>
      </w:r>
    </w:p>
    <w:p>
      <w:pPr>
        <w:spacing w:after="140" w:line="290"/>
      </w:pPr>
      <w:r>
        <w:rPr>
          <w:rFonts w:ascii="Calibri" w:cs="Calibri" w:eastAsia="Calibri" w:hAnsi="Calibri"/>
          <w:b/>
          <w:bCs/>
          <w:color w:val="1B2430"/>
          <w:sz w:val="20"/>
          <w:szCs w:val="20"/>
        </w:rPr>
        <w:t xml:space="preserve">10.1 Definition.</w:t>
      </w:r>
      <w:r>
        <w:rPr>
          <w:rFonts w:ascii="Calibri" w:cs="Calibri" w:eastAsia="Calibri" w:hAnsi="Calibri"/>
          <w:b w:val="false"/>
          <w:bCs w:val="false"/>
          <w:color w:val="1B2430"/>
          <w:sz w:val="20"/>
          <w:szCs w:val="20"/>
        </w:rPr>
        <w:t xml:space="preserve"> "Confidential Information" means non-public information disclosed by either party, in any form, that is designated confidential or that a reasonable person would understand to be confidential given its nature and the circumstances of disclosure.</w:t>
      </w:r>
    </w:p>
    <w:p>
      <w:pPr>
        <w:spacing w:after="140" w:line="290"/>
      </w:pPr>
      <w:r>
        <w:rPr>
          <w:rFonts w:ascii="Calibri" w:cs="Calibri" w:eastAsia="Calibri" w:hAnsi="Calibri"/>
          <w:b/>
          <w:bCs/>
          <w:color w:val="1B2430"/>
          <w:sz w:val="20"/>
          <w:szCs w:val="20"/>
        </w:rPr>
        <w:t xml:space="preserve">10.2 Obligations.</w:t>
      </w:r>
      <w:r>
        <w:rPr>
          <w:rFonts w:ascii="Calibri" w:cs="Calibri" w:eastAsia="Calibri" w:hAnsi="Calibri"/>
          <w:b w:val="false"/>
          <w:bCs w:val="false"/>
          <w:color w:val="1B2430"/>
          <w:sz w:val="20"/>
          <w:szCs w:val="20"/>
        </w:rPr>
        <w:t xml:space="preserve"> Each party shall use the other's Confidential Information solely to perform this Agreement or evaluate the transaction contemplated by it, shall protect it with at least the care it uses for its own confidential information and no less than reasonable care, and shall disclose it only to those of its personnel and advisors who need it for that purpose and who are bound by confidentiality obligations no less protective than these.</w:t>
      </w:r>
    </w:p>
    <w:p>
      <w:pPr>
        <w:spacing w:after="140" w:line="290"/>
      </w:pPr>
      <w:r>
        <w:rPr>
          <w:rFonts w:ascii="Calibri" w:cs="Calibri" w:eastAsia="Calibri" w:hAnsi="Calibri"/>
          <w:b/>
          <w:bCs/>
          <w:color w:val="1B2430"/>
          <w:sz w:val="20"/>
          <w:szCs w:val="20"/>
        </w:rPr>
        <w:t xml:space="preserve">10.3 Exclusions.</w:t>
      </w:r>
      <w:r>
        <w:rPr>
          <w:rFonts w:ascii="Calibri" w:cs="Calibri" w:eastAsia="Calibri" w:hAnsi="Calibri"/>
          <w:b w:val="false"/>
          <w:bCs w:val="false"/>
          <w:color w:val="1B2430"/>
          <w:sz w:val="20"/>
          <w:szCs w:val="20"/>
        </w:rPr>
        <w:t xml:space="preserve"> These obligations do not apply to information that is or becomes public through no breach of this Agreement, was rightfully known without restriction before disclosure, is rightfully received from a third party without restriction, or is independently developed without use of the disclosing party's Confidential Information.</w:t>
      </w:r>
    </w:p>
    <w:p>
      <w:pPr>
        <w:spacing w:after="140" w:line="290"/>
      </w:pPr>
      <w:r>
        <w:rPr>
          <w:rFonts w:ascii="Calibri" w:cs="Calibri" w:eastAsia="Calibri" w:hAnsi="Calibri"/>
          <w:b/>
          <w:bCs/>
          <w:color w:val="1B2430"/>
          <w:sz w:val="20"/>
          <w:szCs w:val="20"/>
        </w:rPr>
        <w:t xml:space="preserve">10.4 Compelled Disclosure.</w:t>
      </w:r>
      <w:r>
        <w:rPr>
          <w:rFonts w:ascii="Calibri" w:cs="Calibri" w:eastAsia="Calibri" w:hAnsi="Calibri"/>
          <w:b w:val="false"/>
          <w:bCs w:val="false"/>
          <w:color w:val="1B2430"/>
          <w:sz w:val="20"/>
          <w:szCs w:val="20"/>
        </w:rPr>
        <w:t xml:space="preserve"> A party required by law, regulation, or valid legal process to disclose Confidential Information may do so, provided it gives prompt written notice to the extent legally permitted, discloses only what is legally required, and reasonably cooperates in any effort to obtain protective treatment.</w:t>
      </w:r>
    </w:p>
    <w:p>
      <w:pPr>
        <w:spacing w:after="140" w:line="290"/>
      </w:pPr>
      <w:r>
        <w:rPr>
          <w:rFonts w:ascii="Calibri" w:cs="Calibri" w:eastAsia="Calibri" w:hAnsi="Calibri"/>
          <w:b/>
          <w:bCs/>
          <w:color w:val="1B2430"/>
          <w:sz w:val="20"/>
          <w:szCs w:val="20"/>
        </w:rPr>
        <w:t xml:space="preserve">10.5 Term.</w:t>
      </w:r>
      <w:r>
        <w:rPr>
          <w:rFonts w:ascii="Calibri" w:cs="Calibri" w:eastAsia="Calibri" w:hAnsi="Calibri"/>
          <w:b w:val="false"/>
          <w:bCs w:val="false"/>
          <w:color w:val="1B2430"/>
          <w:sz w:val="20"/>
          <w:szCs w:val="20"/>
        </w:rPr>
        <w:t xml:space="preserve"> These obligations continue for 5 years after disclosure, and, for anything constituting a trade secret, for as long as it remains a trade secret under applicable law.</w:t>
      </w:r>
    </w:p>
    <w:p>
      <w:pPr>
        <w:spacing w:after="140" w:line="290"/>
      </w:pPr>
      <w:r>
        <w:rPr>
          <w:rFonts w:ascii="Calibri" w:cs="Calibri" w:eastAsia="Calibri" w:hAnsi="Calibri"/>
          <w:b/>
          <w:bCs/>
          <w:color w:val="1B2430"/>
          <w:sz w:val="20"/>
          <w:szCs w:val="20"/>
        </w:rPr>
        <w:t xml:space="preserve">10.6 Return.</w:t>
      </w:r>
      <w:r>
        <w:rPr>
          <w:rFonts w:ascii="Calibri" w:cs="Calibri" w:eastAsia="Calibri" w:hAnsi="Calibri"/>
          <w:b w:val="false"/>
          <w:bCs w:val="false"/>
          <w:color w:val="1B2430"/>
          <w:sz w:val="20"/>
          <w:szCs w:val="20"/>
        </w:rPr>
        <w:t xml:space="preserve"> On written request following termination, each party shall return or destroy the other's Confidential Information, except for copies retained in routine backups or as required by law or professional obligation, which remain subject to this Section.</w:t>
      </w:r>
    </w:p>
    <w:p>
      <w:pPr>
        <w:pStyle w:val="Heading2"/>
        <w:pBdr>
          <w:bottom w:val="single" w:color="B8963E" w:sz="4" w:space="3"/>
        </w:pBdr>
        <w:spacing w:after="120" w:before="300"/>
      </w:pPr>
      <w:r>
        <w:rPr>
          <w:rFonts w:ascii="Georgia" w:cs="Georgia" w:eastAsia="Georgia" w:hAnsi="Georgia"/>
          <w:b/>
          <w:bCs/>
          <w:color w:val="0B1F3A"/>
          <w:sz w:val="24"/>
          <w:szCs w:val="24"/>
        </w:rPr>
        <w:t xml:space="preserve">11. Dissolution and Winding Up</w:t>
      </w:r>
    </w:p>
    <w:p>
      <w:pPr>
        <w:spacing w:after="140" w:line="290"/>
      </w:pPr>
      <w:r>
        <w:rPr>
          <w:rFonts w:ascii="Calibri" w:cs="Calibri" w:eastAsia="Calibri" w:hAnsi="Calibri"/>
          <w:b/>
          <w:bCs/>
          <w:color w:val="1B2430"/>
          <w:sz w:val="20"/>
          <w:szCs w:val="20"/>
        </w:rPr>
        <w:t xml:space="preserve">11.1 Dissolution.</w:t>
      </w:r>
      <w:r>
        <w:rPr>
          <w:rFonts w:ascii="Calibri" w:cs="Calibri" w:eastAsia="Calibri" w:hAnsi="Calibri"/>
          <w:b w:val="false"/>
          <w:bCs w:val="false"/>
          <w:color w:val="1B2430"/>
          <w:sz w:val="20"/>
          <w:szCs w:val="20"/>
        </w:rPr>
        <w:t xml:space="preserve"> The Company dissolves on the first to occur of: the Approval of the Members; the sale of all or substantially all of the Company's assets and the distribution of the proceeds; or an event requiring dissolution under the Delaware Limited Liability Company Act.</w:t>
      </w:r>
    </w:p>
    <w:p>
      <w:pPr>
        <w:spacing w:after="140" w:line="290"/>
      </w:pPr>
      <w:r>
        <w:rPr>
          <w:rFonts w:ascii="Calibri" w:cs="Calibri" w:eastAsia="Calibri" w:hAnsi="Calibri"/>
          <w:b/>
          <w:bCs/>
          <w:color w:val="1B2430"/>
          <w:sz w:val="20"/>
          <w:szCs w:val="20"/>
        </w:rPr>
        <w:t xml:space="preserve">11.2 Winding Up.</w:t>
      </w:r>
      <w:r>
        <w:rPr>
          <w:rFonts w:ascii="Calibri" w:cs="Calibri" w:eastAsia="Calibri" w:hAnsi="Calibri"/>
          <w:b w:val="false"/>
          <w:bCs w:val="false"/>
          <w:color w:val="1B2430"/>
          <w:sz w:val="20"/>
          <w:szCs w:val="20"/>
        </w:rPr>
        <w:t xml:space="preserve"> On dissolution, the Manager shall wind up the Company's affairs, liquidate its assets in an orderly manner, and apply the proceeds in the following order: (a) to creditors of the Company, including Members who are creditors, other than in respect of distributions; (b) to reserves reasonably necessary for contingent liabilities; and (c) to the Members in accordance with the Distributions Section.</w:t>
      </w:r>
    </w:p>
    <w:p>
      <w:pPr>
        <w:spacing w:after="140" w:line="290"/>
      </w:pPr>
      <w:r>
        <w:rPr>
          <w:rFonts w:ascii="Calibri" w:cs="Calibri" w:eastAsia="Calibri" w:hAnsi="Calibri"/>
          <w:b/>
          <w:bCs/>
          <w:color w:val="1B2430"/>
          <w:sz w:val="20"/>
          <w:szCs w:val="20"/>
        </w:rPr>
        <w:t xml:space="preserve">11.3 No Deficit Restoration.</w:t>
      </w:r>
      <w:r>
        <w:rPr>
          <w:rFonts w:ascii="Calibri" w:cs="Calibri" w:eastAsia="Calibri" w:hAnsi="Calibri"/>
          <w:b w:val="false"/>
          <w:bCs w:val="false"/>
          <w:color w:val="1B2430"/>
          <w:sz w:val="20"/>
          <w:szCs w:val="20"/>
        </w:rPr>
        <w:t xml:space="preserve"> No Member is obligated to restore a deficit balance in its capital account.</w:t>
      </w:r>
    </w:p>
    <w:p>
      <w:pPr>
        <w:spacing w:after="140" w:line="290"/>
      </w:pPr>
      <w:r>
        <w:rPr>
          <w:rFonts w:ascii="Calibri" w:cs="Calibri" w:eastAsia="Calibri" w:hAnsi="Calibri"/>
          <w:b/>
          <w:bCs/>
          <w:color w:val="1B2430"/>
          <w:sz w:val="20"/>
          <w:szCs w:val="20"/>
        </w:rPr>
        <w:t xml:space="preserve">11.4 Termination.</w:t>
      </w:r>
      <w:r>
        <w:rPr>
          <w:rFonts w:ascii="Calibri" w:cs="Calibri" w:eastAsia="Calibri" w:hAnsi="Calibri"/>
          <w:b w:val="false"/>
          <w:bCs w:val="false"/>
          <w:color w:val="1B2430"/>
          <w:sz w:val="20"/>
          <w:szCs w:val="20"/>
        </w:rPr>
        <w:t xml:space="preserve"> The Company terminates when all assets have been distributed and a certificate of cancellation has been filed.</w:t>
      </w:r>
    </w:p>
    <w:p>
      <w:pPr>
        <w:pBdr>
          <w:left w:val="single" w:color="B8963E" w:sz="12" w:space="8"/>
        </w:pBdr>
        <w:spacing w:after="140" w:before="80"/>
        <w:ind w:left="360"/>
      </w:pPr>
      <w:r>
        <w:rPr>
          <w:rFonts w:ascii="Calibri" w:cs="Calibri" w:eastAsia="Calibri" w:hAnsi="Calibri"/>
          <w:i/>
          <w:iCs/>
          <w:color w:val="96792F"/>
          <w:sz w:val="19"/>
          <w:szCs w:val="19"/>
        </w:rPr>
        <w:t xml:space="preserve">*No protective variant exists for this clause; the standard variant was used, which is LESS protective than this deal's posture — confirm before sending.*</w:t>
      </w:r>
    </w:p>
    <w:p>
      <w:pPr>
        <w:pStyle w:val="Heading2"/>
        <w:pBdr>
          <w:bottom w:val="single" w:color="B8963E" w:sz="4" w:space="3"/>
        </w:pBdr>
        <w:spacing w:after="120" w:before="300"/>
      </w:pPr>
      <w:r>
        <w:rPr>
          <w:rFonts w:ascii="Georgia" w:cs="Georgia" w:eastAsia="Georgia" w:hAnsi="Georgia"/>
          <w:b/>
          <w:bCs/>
          <w:color w:val="0B1F3A"/>
          <w:sz w:val="24"/>
          <w:szCs w:val="24"/>
        </w:rPr>
        <w:t xml:space="preserve">12. Governing Law and Dispute Resolution</w:t>
      </w:r>
    </w:p>
    <w:p>
      <w:pPr>
        <w:spacing w:after="140" w:line="290"/>
      </w:pPr>
      <w:r>
        <w:rPr>
          <w:rFonts w:ascii="Calibri" w:cs="Calibri" w:eastAsia="Calibri" w:hAnsi="Calibri"/>
          <w:b/>
          <w:bCs/>
          <w:color w:val="1B2430"/>
          <w:sz w:val="20"/>
          <w:szCs w:val="20"/>
        </w:rPr>
        <w:t xml:space="preserve">12.1 Governing Law.</w:t>
      </w:r>
      <w:r>
        <w:rPr>
          <w:rFonts w:ascii="Calibri" w:cs="Calibri" w:eastAsia="Calibri" w:hAnsi="Calibri"/>
          <w:b w:val="false"/>
          <w:bCs w:val="false"/>
          <w:color w:val="1B2430"/>
          <w:sz w:val="20"/>
          <w:szCs w:val="20"/>
        </w:rPr>
        <w:t xml:space="preserve"> This Agreement is governed by the laws of the State of Delaware, without regard to its conflict of laws principles.</w:t>
      </w:r>
    </w:p>
    <w:p>
      <w:pPr>
        <w:spacing w:after="140" w:line="290"/>
      </w:pPr>
      <w:r>
        <w:rPr>
          <w:rFonts w:ascii="Calibri" w:cs="Calibri" w:eastAsia="Calibri" w:hAnsi="Calibri"/>
          <w:b/>
          <w:bCs/>
          <w:color w:val="1B2430"/>
          <w:sz w:val="20"/>
          <w:szCs w:val="20"/>
        </w:rPr>
        <w:t xml:space="preserve">12.2 Escalation.</w:t>
      </w:r>
      <w:r>
        <w:rPr>
          <w:rFonts w:ascii="Calibri" w:cs="Calibri" w:eastAsia="Calibri" w:hAnsi="Calibri"/>
          <w:b w:val="false"/>
          <w:bCs w:val="false"/>
          <w:color w:val="1B2430"/>
          <w:sz w:val="20"/>
          <w:szCs w:val="20"/>
        </w:rPr>
        <w:t xml:space="preserve"> Before commencing any proceeding, the parties shall attempt in good faith to resolve the dispute through direct negotiation between senior representatives for thirty (30) days, and, if unresolved, through non-binding mediation for a further thirty (30) days.</w:t>
      </w:r>
    </w:p>
    <w:p>
      <w:pPr>
        <w:spacing w:after="140" w:line="290"/>
      </w:pPr>
      <w:r>
        <w:rPr>
          <w:rFonts w:ascii="Calibri" w:cs="Calibri" w:eastAsia="Calibri" w:hAnsi="Calibri"/>
          <w:b/>
          <w:bCs/>
          <w:color w:val="1B2430"/>
          <w:sz w:val="20"/>
          <w:szCs w:val="20"/>
        </w:rPr>
        <w:t xml:space="preserve">12.3 Arbitration.</w:t>
      </w:r>
      <w:r>
        <w:rPr>
          <w:rFonts w:ascii="Calibri" w:cs="Calibri" w:eastAsia="Calibri" w:hAnsi="Calibri"/>
          <w:b w:val="false"/>
          <w:bCs w:val="false"/>
          <w:color w:val="1B2430"/>
          <w:sz w:val="20"/>
          <w:szCs w:val="20"/>
        </w:rPr>
        <w:t xml:space="preserve"> Any dispute not resolved under Section 12.2 shall be finally resolved by binding arbitration before a single arbitrator under the rules of JAMS, seated in the State of Delaware. Judgment on the award may be entered in any court of competent jurisdiction.</w:t>
      </w:r>
    </w:p>
    <w:p>
      <w:pPr>
        <w:spacing w:after="140" w:line="290"/>
      </w:pPr>
      <w:r>
        <w:rPr>
          <w:rFonts w:ascii="Calibri" w:cs="Calibri" w:eastAsia="Calibri" w:hAnsi="Calibri"/>
          <w:b/>
          <w:bCs/>
          <w:color w:val="1B2430"/>
          <w:sz w:val="20"/>
          <w:szCs w:val="20"/>
        </w:rPr>
        <w:t xml:space="preserve">12.4 Exceptions.</w:t>
      </w:r>
      <w:r>
        <w:rPr>
          <w:rFonts w:ascii="Calibri" w:cs="Calibri" w:eastAsia="Calibri" w:hAnsi="Calibri"/>
          <w:b w:val="false"/>
          <w:bCs w:val="false"/>
          <w:color w:val="1B2430"/>
          <w:sz w:val="20"/>
          <w:szCs w:val="20"/>
        </w:rPr>
        <w:t xml:space="preserve"> Either party may seek injunctive or other equitable relief in a court of competent jurisdiction to protect its Confidential Information or intellectual property, and either party may bring a claim in small-claims court where the claim qualifies.</w:t>
      </w:r>
    </w:p>
    <w:p>
      <w:pPr>
        <w:spacing w:after="140" w:line="290"/>
      </w:pPr>
      <w:r>
        <w:rPr>
          <w:rFonts w:ascii="Calibri" w:cs="Calibri" w:eastAsia="Calibri" w:hAnsi="Calibri"/>
          <w:b/>
          <w:bCs/>
          <w:color w:val="1B2430"/>
          <w:sz w:val="20"/>
          <w:szCs w:val="20"/>
        </w:rPr>
        <w:t xml:space="preserve">12.5 Fees.</w:t>
      </w:r>
      <w:r>
        <w:rPr>
          <w:rFonts w:ascii="Calibri" w:cs="Calibri" w:eastAsia="Calibri" w:hAnsi="Calibri"/>
          <w:b w:val="false"/>
          <w:bCs w:val="false"/>
          <w:color w:val="1B2430"/>
          <w:sz w:val="20"/>
          <w:szCs w:val="20"/>
        </w:rPr>
        <w:t xml:space="preserve"> The prevailing party in any proceeding is entitled to recover its reasonable attorneys' fees and costs.</w:t>
      </w:r>
    </w:p>
    <w:p>
      <w:pPr>
        <w:spacing w:after="140" w:line="290"/>
      </w:pPr>
      <w:r>
        <w:rPr>
          <w:rFonts w:ascii="Calibri" w:cs="Calibri" w:eastAsia="Calibri" w:hAnsi="Calibri"/>
          <w:b/>
          <w:bCs/>
          <w:color w:val="1B2430"/>
          <w:sz w:val="20"/>
          <w:szCs w:val="20"/>
        </w:rPr>
        <w:t xml:space="preserve">12.6 Confidentiality of Proceedings.</w:t>
      </w:r>
      <w:r>
        <w:rPr>
          <w:rFonts w:ascii="Calibri" w:cs="Calibri" w:eastAsia="Calibri" w:hAnsi="Calibri"/>
          <w:b w:val="false"/>
          <w:bCs w:val="false"/>
          <w:color w:val="1B2430"/>
          <w:sz w:val="20"/>
          <w:szCs w:val="20"/>
        </w:rPr>
        <w:t xml:space="preserve"> The existence and content of any proceeding under this Section are Confidential Information.</w:t>
      </w:r>
    </w:p>
    <w:p>
      <w:pPr>
        <w:pBdr>
          <w:bottom w:val="single" w:color="B8963E" w:sz="6" w:space="1"/>
        </w:pBdr>
        <w:spacing w:after="160" w:before="160"/>
      </w:pPr>
    </w:p>
    <w:p>
      <w:pPr>
        <w:pStyle w:val="Heading2"/>
        <w:pBdr>
          <w:bottom w:val="single" w:color="B8963E" w:sz="4" w:space="3"/>
        </w:pBdr>
        <w:spacing w:after="120" w:before="300"/>
      </w:pPr>
      <w:r>
        <w:rPr>
          <w:rFonts w:ascii="Georgia" w:cs="Georgia" w:eastAsia="Georgia" w:hAnsi="Georgia"/>
          <w:b/>
          <w:bCs/>
          <w:color w:val="0B1F3A"/>
          <w:sz w:val="24"/>
          <w:szCs w:val="24"/>
        </w:rPr>
        <w:t xml:space="preserve">Schedule A — Members, Capital Contributions, and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val="clear"/>
            <w:tcMar>
              <w:top w:type="dxa" w:w="80"/>
              <w:left w:type="dxa" w:w="120"/>
              <w:bottom w:type="dxa" w:w="80"/>
              <w:right w:type="dxa" w:w="120"/>
            </w:tcMar>
          </w:tcPr>
          <w:p>
            <w:r>
              <w:rPr>
                <w:rFonts w:ascii="Calibri" w:cs="Calibri" w:eastAsia="Calibri" w:hAnsi="Calibri"/>
                <w:b/>
                <w:bCs/>
                <w:color w:val="FFFFFF"/>
                <w:sz w:val="19"/>
                <w:szCs w:val="19"/>
              </w:rPr>
              <w:t xml:space="preserve">Member</w:t>
            </w:r>
          </w:p>
        </w:tc>
        <w:tc>
          <w:tcPr>
            <w:tcW w:type="dxa" w:w="3120"/>
            <w:shd w:fill="0B1F3A" w:val="clear"/>
            <w:tcMar>
              <w:top w:type="dxa" w:w="80"/>
              <w:left w:type="dxa" w:w="120"/>
              <w:bottom w:type="dxa" w:w="80"/>
              <w:right w:type="dxa" w:w="120"/>
            </w:tcMar>
          </w:tcPr>
          <w:p>
            <w:r>
              <w:rPr>
                <w:rFonts w:ascii="Calibri" w:cs="Calibri" w:eastAsia="Calibri" w:hAnsi="Calibri"/>
                <w:b/>
                <w:bCs/>
                <w:color w:val="FFFFFF"/>
                <w:sz w:val="19"/>
                <w:szCs w:val="19"/>
              </w:rPr>
              <w:t xml:space="preserve">Capital Contribution</w:t>
            </w:r>
          </w:p>
        </w:tc>
        <w:tc>
          <w:tcPr>
            <w:tcW w:type="dxa" w:w="3120"/>
            <w:shd w:fill="0B1F3A" w:val="clear"/>
            <w:tcMar>
              <w:top w:type="dxa" w:w="80"/>
              <w:left w:type="dxa" w:w="120"/>
              <w:bottom w:type="dxa" w:w="80"/>
              <w:right w:type="dxa" w:w="120"/>
            </w:tcMar>
          </w:tcPr>
          <w:p>
            <w:r>
              <w:rPr>
                <w:rFonts w:ascii="Calibri" w:cs="Calibri" w:eastAsia="Calibri" w:hAnsi="Calibri"/>
                <w:b/>
                <w:bCs/>
                <w:color w:val="FFFFFF"/>
                <w:sz w:val="19"/>
                <w:szCs w:val="19"/>
              </w:rPr>
              <w:t xml:space="preserve">Units</w:t>
            </w:r>
          </w:p>
        </w:tc>
      </w:tr>
      <w:tr>
        <w:trPr>
          <w:tblHeader w:val="false"/>
        </w:trPr>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Tessera Holdings LLC</w:t>
            </w:r>
          </w:p>
        </w:tc>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$1,500,000</w:t>
            </w:r>
          </w:p>
        </w:tc>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1,500</w:t>
            </w:r>
          </w:p>
        </w:tc>
      </w:tr>
      <w:tr>
        <w:trPr>
          <w:tblHeader w:val="false"/>
        </w:trPr>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Harbor Partners LLC</w:t>
            </w:r>
          </w:p>
        </w:tc>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$1,500,000</w:t>
            </w:r>
          </w:p>
        </w:tc>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1,500</w:t>
            </w:r>
          </w:p>
        </w:tc>
      </w:tr>
      <w:tr>
        <w:trPr>
          <w:tblHeader w:val="false"/>
        </w:trPr>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Total</w:t>
            </w:r>
          </w:p>
        </w:tc>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$3,000,000</w:t>
            </w:r>
          </w:p>
        </w:tc>
        <w:tc>
          <w:tcPr>
            <w:tcW w:type="dxa" w:w="3120"/>
            <w:tcMar>
              <w:top w:type="dxa" w:w="80"/>
              <w:left w:type="dxa" w:w="120"/>
              <w:bottom w:type="dxa" w:w="80"/>
              <w:right w:type="dxa" w:w="120"/>
            </w:tcMar>
          </w:tcPr>
          <w:p>
            <w:r>
              <w:rPr>
                <w:rFonts w:ascii="Calibri" w:cs="Calibri" w:eastAsia="Calibri" w:hAnsi="Calibri"/>
                <w:b w:val="false"/>
                <w:bCs w:val="false"/>
                <w:color w:val="1B2430"/>
                <w:sz w:val="19"/>
                <w:szCs w:val="19"/>
              </w:rPr>
              <w:t xml:space="preserve">3,000</w:t>
            </w:r>
          </w:p>
        </w:tc>
      </w:tr>
    </w:tbl>
    <w:p>
      <w:pPr>
        <w:spacing w:after="160"/>
      </w:pPr>
    </w:p>
    <w:p>
      <w:pPr>
        <w:pBdr>
          <w:bottom w:val="single" w:color="B8963E" w:sz="6" w:space="1"/>
        </w:pBdr>
        <w:spacing w:after="160" w:before="160"/>
      </w:pPr>
    </w:p>
    <w:p>
      <w:pPr>
        <w:pStyle w:val="Heading2"/>
        <w:pBdr>
          <w:bottom w:val="single" w:color="B8963E" w:sz="4" w:space="3"/>
        </w:pBdr>
        <w:spacing w:after="120" w:before="300"/>
      </w:pPr>
      <w:r>
        <w:rPr>
          <w:rFonts w:ascii="Georgia" w:cs="Georgia" w:eastAsia="Georgia" w:hAnsi="Georgia"/>
          <w:b/>
          <w:bCs/>
          <w:color w:val="0B1F3A"/>
          <w:sz w:val="24"/>
          <w:szCs w:val="24"/>
        </w:rPr>
        <w:t xml:space="preserve">Signatures</w:t>
      </w:r>
    </w:p>
    <w:p>
      <w:pPr>
        <w:spacing w:after="140" w:line="290"/>
      </w:pPr>
      <w:r>
        <w:rPr>
          <w:rFonts w:ascii="Calibri" w:cs="Calibri" w:eastAsia="Calibri" w:hAnsi="Calibri"/>
          <w:b w:val="false"/>
          <w:bCs w:val="false"/>
          <w:color w:val="1B2430"/>
          <w:sz w:val="20"/>
          <w:szCs w:val="20"/>
        </w:rPr>
        <w:t xml:space="preserve">The parties execute this Agreement as of the Effective Date.</w:t>
      </w:r>
    </w:p>
    <w:p>
      <w:pPr>
        <w:spacing w:after="140" w:line="290"/>
      </w:pPr>
      <w:r>
        <w:rPr>
          <w:rFonts w:ascii="Calibri" w:cs="Calibri" w:eastAsia="Calibri" w:hAnsi="Calibri"/>
          <w:b/>
          <w:bCs/>
          <w:color w:val="1B2430"/>
          <w:sz w:val="20"/>
          <w:szCs w:val="20"/>
        </w:rPr>
        <w:t xml:space="preserve">Tessera Holdings LLC</w:t>
      </w:r>
    </w:p>
    <w:p>
      <w:pPr>
        <w:spacing w:after="140" w:line="290"/>
      </w:pPr>
      <w:r>
        <w:rPr>
          <w:rFonts w:ascii="Calibri" w:cs="Calibri" w:eastAsia="Calibri" w:hAnsi="Calibri"/>
          <w:b w:val="false"/>
          <w:bCs w:val="false"/>
          <w:color w:val="1B2430"/>
          <w:sz w:val="20"/>
          <w:szCs w:val="20"/>
        </w:rPr>
        <w:t xml:space="preserve">By: ______________________________</w:t>
      </w:r>
    </w:p>
    <w:p>
      <w:pPr>
        <w:spacing w:after="140" w:line="290"/>
      </w:pPr>
      <w:r>
        <w:rPr>
          <w:rFonts w:ascii="Calibri" w:cs="Calibri" w:eastAsia="Calibri" w:hAnsi="Calibri"/>
          <w:b w:val="false"/>
          <w:bCs w:val="false"/>
          <w:color w:val="1B2430"/>
          <w:sz w:val="20"/>
          <w:szCs w:val="20"/>
        </w:rPr>
        <w:t xml:space="preserve">Name: Derrick Carlisle</w:t>
      </w:r>
    </w:p>
    <w:p>
      <w:pPr>
        <w:spacing w:after="140" w:line="290"/>
      </w:pPr>
      <w:r>
        <w:rPr>
          <w:rFonts w:ascii="Calibri" w:cs="Calibri" w:eastAsia="Calibri" w:hAnsi="Calibri"/>
          <w:b w:val="false"/>
          <w:bCs w:val="false"/>
          <w:color w:val="1B2430"/>
          <w:sz w:val="20"/>
          <w:szCs w:val="20"/>
        </w:rPr>
        <w:t xml:space="preserve">Title: Managing Partner</w:t>
      </w:r>
    </w:p>
    <w:p>
      <w:pPr>
        <w:spacing w:after="140" w:line="290"/>
      </w:pPr>
      <w:r>
        <w:rPr>
          <w:rFonts w:ascii="Calibri" w:cs="Calibri" w:eastAsia="Calibri" w:hAnsi="Calibri"/>
          <w:b w:val="false"/>
          <w:bCs w:val="false"/>
          <w:color w:val="1B2430"/>
          <w:sz w:val="20"/>
          <w:szCs w:val="20"/>
        </w:rPr>
        <w:t xml:space="preserve">Date: ______________________________</w:t>
      </w:r>
    </w:p>
    <w:p>
      <w:pPr>
        <w:spacing w:after="140" w:line="290"/>
      </w:pPr>
      <w:r>
        <w:rPr>
          <w:rFonts w:ascii="Calibri" w:cs="Calibri" w:eastAsia="Calibri" w:hAnsi="Calibri"/>
          <w:b/>
          <w:bCs/>
          <w:color w:val="1B2430"/>
          <w:sz w:val="20"/>
          <w:szCs w:val="20"/>
        </w:rPr>
        <w:t xml:space="preserve">Harbor Partners LLC</w:t>
      </w:r>
    </w:p>
    <w:p>
      <w:pPr>
        <w:spacing w:after="140" w:line="290"/>
      </w:pPr>
      <w:r>
        <w:rPr>
          <w:rFonts w:ascii="Calibri" w:cs="Calibri" w:eastAsia="Calibri" w:hAnsi="Calibri"/>
          <w:b w:val="false"/>
          <w:bCs w:val="false"/>
          <w:color w:val="1B2430"/>
          <w:sz w:val="20"/>
          <w:szCs w:val="20"/>
        </w:rPr>
        <w:t xml:space="preserve">By: ______________________________</w:t>
      </w:r>
    </w:p>
    <w:p>
      <w:pPr>
        <w:spacing w:after="140" w:line="290"/>
      </w:pPr>
      <w:r>
        <w:rPr>
          <w:rFonts w:ascii="Calibri" w:cs="Calibri" w:eastAsia="Calibri" w:hAnsi="Calibri"/>
          <w:b w:val="false"/>
          <w:bCs w:val="false"/>
          <w:color w:val="1B2430"/>
          <w:sz w:val="20"/>
          <w:szCs w:val="20"/>
        </w:rPr>
        <w:t xml:space="preserve">Name: J. Rivera</w:t>
      </w:r>
    </w:p>
    <w:p>
      <w:pPr>
        <w:spacing w:after="140" w:line="290"/>
      </w:pPr>
      <w:r>
        <w:rPr>
          <w:rFonts w:ascii="Calibri" w:cs="Calibri" w:eastAsia="Calibri" w:hAnsi="Calibri"/>
          <w:b w:val="false"/>
          <w:bCs w:val="false"/>
          <w:color w:val="1B2430"/>
          <w:sz w:val="20"/>
          <w:szCs w:val="20"/>
        </w:rPr>
        <w:t xml:space="preserve">Title: Manager</w:t>
      </w:r>
    </w:p>
    <w:p>
      <w:pPr>
        <w:spacing w:after="140" w:line="290"/>
      </w:pPr>
      <w:r>
        <w:rPr>
          <w:rFonts w:ascii="Calibri" w:cs="Calibri" w:eastAsia="Calibri" w:hAnsi="Calibri"/>
          <w:b w:val="false"/>
          <w:bCs w:val="false"/>
          <w:color w:val="1B2430"/>
          <w:sz w:val="20"/>
          <w:szCs w:val="20"/>
        </w:rPr>
        <w:t xml:space="preserve">Date: ______________________________</w:t>
      </w:r>
    </w:p>
    <w:p>
      <w:pPr>
        <w:pBdr>
          <w:bottom w:val="single" w:color="B8963E" w:sz="6" w:space="1"/>
        </w:pBdr>
        <w:spacing w:after="160" w:before="160"/>
      </w:pPr>
    </w:p>
    <w:p>
      <w:pPr>
        <w:pStyle w:val="Heading2"/>
        <w:pBdr>
          <w:bottom w:val="single" w:color="B8963E" w:sz="4" w:space="3"/>
        </w:pBdr>
        <w:spacing w:after="120" w:before="300"/>
      </w:pPr>
      <w:r>
        <w:rPr>
          <w:rFonts w:ascii="Georgia" w:cs="Georgia" w:eastAsia="Georgia" w:hAnsi="Georgia"/>
          <w:b/>
          <w:bCs/>
          <w:color w:val="0B1F3A"/>
          <w:sz w:val="24"/>
          <w:szCs w:val="24"/>
        </w:rPr>
        <w:t xml:space="preserve">Counsel review checklist</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Purpose and Powers: Confirm the stated purpose is broad enough for the intended business but narrow enough to be meaningful, and that it does not conflict with any licence condition.</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Capital Contributions: Confirm the dilution formula is arithmetically correct and produces the intended result on a worked example. Confirm the treatment of a member loan is consistent with the tax position and does not create an unintended preferred return.</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Distributions: MANDATORY tax review: confirm the waterfall, the promote, and the tax-distribution provision are consistent with the intended tax treatment and the allocation provisions. Run the waterfall on at least one downside case before signature.</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Management and Reserved Matters: Confirm every item on the reserved list is one the members genuinely want to control, and that nothing structurally significant is missing — sale, encumbrance, new debt, admission of members, related-party transactions, change of business, dissolution. Confirm the approval threshold is achievable and does not create an unintended deadlock.</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Transfer Restrictions: Confirm the permitted-transfer carve-outs match the members' actual estate and entity planning. In a regulated business, confirm any transfer is conditioned on regulatory approval and suitability of the transferee.</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Deadlock and Buy-Sell: Confirm the members' relative access to capital — a shotgun mechanism systematically favours the better-funded member. Confirm the timeline is workable and that financing contingencies are addressed.</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Duties, Exculpation, and Indemnification: MANDATORY: confirm what may and may not be waived under the Delaware Limited Liability Company Act — this varies significantly by state, and a waiver that is effective in Delaware may not be elsewhere. Confirm the indemnification and advancement provisions are consistent with the Company's insurance.</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Books, Records, and Reporting: Confirm the reporting cadence is achievable and that the tax-information deadline is realistic for the Company's accountants.</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Confidentiality: Confirm the trade-secret carve-out from the term limit is consistent with the State of Delaware law, and that the compelled-disclosure procedure is workable.</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Dissolution and Winding Up: Confirm the liquidation waterfall matches the distribution waterfall, and confirm with a tax advisor whether liquidating distributions should follow capital accounts instead.</w:t>
      </w:r>
    </w:p>
    <w:p>
      <w:pPr>
        <w:pStyle w:val="ListParagraph"/>
        <w:numPr>
          <w:ilvl w:val="0"/>
          <w:numId w:val="1"/>
        </w:numPr>
        <w:spacing w:after="80" w:line="280"/>
      </w:pPr>
      <w:r>
        <w:rPr>
          <w:rFonts w:ascii="Calibri" w:cs="Calibri" w:eastAsia="Calibri" w:hAnsi="Calibri"/>
          <w:b w:val="false"/>
          <w:bCs w:val="false"/>
          <w:color w:val="1B2430"/>
          <w:sz w:val="20"/>
          <w:szCs w:val="20"/>
        </w:rPr>
        <w:t xml:space="preserve">Governing Law and Dispute Resolution: Confirm the arbitration provider, seat, and rules are appropriate for the State of Delaware and the likely dispute size. Confirm the fee-shifting provision is enforceable there.</w:t>
      </w:r>
    </w:p>
    <w:p>
      <w:pPr>
        <w:pBdr>
          <w:bottom w:val="single" w:color="B8963E" w:sz="6" w:space="1"/>
        </w:pBdr>
        <w:spacing w:after="160" w:before="160"/>
      </w:pPr>
    </w:p>
    <w:p>
      <w:pPr>
        <w:pStyle w:val="Heading2"/>
        <w:pBdr>
          <w:bottom w:val="single" w:color="B8963E" w:sz="4" w:space="3"/>
        </w:pBdr>
        <w:spacing w:after="120" w:before="300"/>
      </w:pPr>
      <w:r>
        <w:rPr>
          <w:rFonts w:ascii="Georgia" w:cs="Georgia" w:eastAsia="Georgia" w:hAnsi="Georgia"/>
          <w:b/>
          <w:bCs/>
          <w:color w:val="0B1F3A"/>
          <w:sz w:val="24"/>
          <w:szCs w:val="24"/>
        </w:rPr>
        <w:t xml:space="preserve">Terms supplied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1F3A"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4680"/>
            <w:shd w:fill="0B1F3A"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Accounting basis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GAAP</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Annual report deadline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90</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Arbitration provider</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JAMS</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Buy-sell closing window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60</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Buy-sell election window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30</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Capital call notice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15</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Stated company purpose</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acquiring, developing, and operating the Property</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Confidentiality period (years)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5</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Days between deadlock meetings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15</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Member default loan rate</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12%</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Governing entity statute</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the Delaware Limited Liability Company Act</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Failed-close purchase discount</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80%</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Governing jurisdiction</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the State of Delaware</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Litigation approval threshold</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$50,000</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Manager</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Tessera Holdings LLC</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Member approval threshold</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75%</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Preferred return</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8%</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Promote holder</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Tessera Holdings LLC</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Quarterly report deadline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30</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Residual split to members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80%</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ROFR completion window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60</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Right of first refusal window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45</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Tax distribution deadline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75</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K-1 delivery deadline (days)</w:t>
            </w:r>
          </w:p>
        </w:tc>
        <w:tc>
          <w:tcPr>
            <w:tcW w:type="dxa" w:w="4680"/>
            <w:tcMar>
              <w:top w:type="dxa" w:w="80"/>
              <w:left w:type="dxa" w:w="120"/>
              <w:bottom w:type="dxa" w:w="80"/>
              <w:right w:type="dxa" w:w="120"/>
            </w:tcMar>
          </w:tcPr>
          <w:p>
            <w:r>
              <w:rPr>
                <w:rFonts w:ascii="Calibri" w:cs="Calibri" w:eastAsia="Calibri" w:hAnsi="Calibri"/>
                <w:b w:val="false"/>
                <w:bCs w:val="false"/>
                <w:color w:val="1B2430"/>
                <w:sz w:val="19"/>
                <w:szCs w:val="19"/>
              </w:rPr>
              <w:t xml:space="preserve">75</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Operating Agreement — Harbor Logistics HoldCo   |   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3E" w:sz="6" w:space="6"/>
      </w:pBdr>
    </w:pPr>
    <w:r>
      <w:rPr>
        <w:rFonts w:ascii="Georgia" w:cs="Georgia" w:eastAsia="Georgia" w:hAnsi="Georgia"/>
        <w:b/>
        <w:bCs/>
        <w:color w:val="0B1F3A"/>
        <w:sz w:val="16"/>
        <w:szCs w:val="16"/>
      </w:rPr>
      <w:t xml:space="preserve">TESSERA GROUP</w:t>
    </w:r>
    <w:r>
      <w:rPr>
        <w:rFonts w:ascii="Calibri" w:cs="Calibri" w:eastAsia="Calibri" w:hAnsi="Calibri"/>
        <w:i/>
        <w:iCs/>
        <w:color w:val="5B6472"/>
        <w:sz w:val="16"/>
        <w:szCs w:val="16"/>
      </w:rPr>
      <w:t xml:space="preserve">   |   Draft —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2026-08-19T00:08:45.512Z</dcterms:created>
  <dcterms:modified xsi:type="dcterms:W3CDTF">2026-08-19T00:08:45.512Z</dcterms:modified>
</cp:coreProperties>
</file>

<file path=docProps/custom.xml><?xml version="1.0" encoding="utf-8"?>
<Properties xmlns="http://schemas.openxmlformats.org/officeDocument/2006/custom-properties" xmlns:vt="http://schemas.openxmlformats.org/officeDocument/2006/docPropsVTypes"/>
</file>