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Georgia" w:hAnsi="Georgia"/>
          <w:b/>
          <w:color w:val="0B1F3A"/>
          <w:sz w:val="34"/>
        </w:rPr>
        <w:t>Structure Recommendation — Northstar Housing (Synthetic)</w:t>
      </w:r>
    </w:p>
    <w:p>
      <w:pPr>
        <w:spacing w:after="140"/>
        <w:ind w:left="360"/>
        <w:pBdr>
          <w:left w:val="single" w:sz="12" w:space="4" w:color="B8963E"/>
        </w:pBdr>
      </w:pPr>
      <w:r>
        <w:rPr>
          <w:rFonts w:ascii="Calibri" w:hAnsi="Calibri"/>
          <w:i/>
          <w:color w:val="96792F"/>
          <w:sz w:val="19"/>
        </w:rPr>
        <w:t>Structural advice, not legal or tax advice. Every position below is for review by qualified counsel and a tax advisor before formation or execution.</w:t>
      </w:r>
    </w:p>
    <w:p>
      <w:pPr>
        <w:spacing w:before="300" w:after="120"/>
        <w:pBdr>
          <w:bottom w:val="single" w:sz="4" w:space="4" w:color="B8963E"/>
        </w:pBdr>
      </w:pPr>
      <w:r>
        <w:rPr>
          <w:rFonts w:ascii="Georgia" w:hAnsi="Georgia"/>
          <w:b/>
          <w:color w:val="0B1F3A"/>
          <w:sz w:val="24"/>
        </w:rPr>
        <w:t>What this is built for</w:t>
      </w:r>
    </w:p>
    <w:p>
      <w:pPr>
        <w:pStyle w:val="ListBullet"/>
        <w:spacing w:after="80"/>
      </w:pPr>
      <w:r>
        <w:rPr>
          <w:rFonts w:ascii="Calibri" w:hAnsi="Calibri"/>
          <w:b w:val="0"/>
          <w:i w:val="0"/>
          <w:color w:val="1B2430"/>
          <w:sz w:val="20"/>
        </w:rPr>
        <w:t>2 active principals</w:t>
      </w:r>
    </w:p>
    <w:p>
      <w:pPr>
        <w:pStyle w:val="ListBullet"/>
        <w:spacing w:after="80"/>
      </w:pPr>
      <w:r>
        <w:rPr>
          <w:rFonts w:ascii="Calibri" w:hAnsi="Calibri"/>
          <w:b w:val="0"/>
          <w:i w:val="0"/>
          <w:color w:val="1B2430"/>
          <w:sz w:val="20"/>
        </w:rPr>
        <w:t>Equal ownership</w:t>
      </w:r>
    </w:p>
    <w:p>
      <w:pPr>
        <w:pStyle w:val="ListBullet"/>
        <w:spacing w:after="80"/>
      </w:pPr>
      <w:r>
        <w:rPr>
          <w:rFonts w:ascii="Calibri" w:hAnsi="Calibri"/>
          <w:b w:val="0"/>
          <w:i w:val="0"/>
          <w:color w:val="1B2430"/>
          <w:sz w:val="20"/>
        </w:rPr>
        <w:t>Real Estate Hold in Texas</w:t>
      </w:r>
    </w:p>
    <w:p>
      <w:pPr>
        <w:pStyle w:val="ListBullet"/>
        <w:spacing w:after="80"/>
      </w:pPr>
      <w:r>
        <w:rPr>
          <w:rFonts w:ascii="Calibri" w:hAnsi="Calibri"/>
          <w:b w:val="0"/>
          <w:i w:val="0"/>
          <w:color w:val="1B2430"/>
          <w:sz w:val="20"/>
        </w:rPr>
        <w:t>Capital from founders only, $3,000,000 initially</w:t>
      </w:r>
    </w:p>
    <w:p>
      <w:pPr>
        <w:pStyle w:val="ListBullet"/>
        <w:spacing w:after="80"/>
      </w:pPr>
      <w:r>
        <w:rPr>
          <w:rFonts w:ascii="Calibri" w:hAnsi="Calibri"/>
          <w:b w:val="0"/>
          <w:i w:val="0"/>
          <w:color w:val="1B2430"/>
          <w:sz w:val="20"/>
        </w:rPr>
        <w:t>Exit intent: hold indefinitely</w:t>
      </w:r>
    </w:p>
    <w:p>
      <w:pPr>
        <w:pStyle w:val="ListBullet"/>
        <w:spacing w:after="80"/>
      </w:pPr>
      <w:r>
        <w:rPr>
          <w:rFonts w:ascii="Calibri" w:hAnsi="Calibri"/>
          <w:b w:val="0"/>
          <w:i w:val="0"/>
          <w:color w:val="1B2430"/>
          <w:sz w:val="20"/>
        </w:rPr>
        <w:t>Holds real property</w:t>
      </w:r>
    </w:p>
    <w:p>
      <w:pPr>
        <w:spacing w:before="300" w:after="120"/>
        <w:pBdr>
          <w:bottom w:val="single" w:sz="4" w:space="4" w:color="B8963E"/>
        </w:pBdr>
      </w:pPr>
      <w:r>
        <w:rPr>
          <w:rFonts w:ascii="Georgia" w:hAnsi="Georgia"/>
          <w:b/>
          <w:color w:val="0B1F3A"/>
          <w:sz w:val="24"/>
        </w:rPr>
        <w:t>The structure</w:t>
      </w:r>
    </w:p>
    <w:p>
      <w:pPr>
        <w:spacing w:after="140" w:line="276" w:lineRule="auto"/>
      </w:pPr>
      <w:r>
        <w:rPr>
          <w:rFonts w:ascii="Calibri" w:hAnsi="Calibri"/>
          <w:b/>
          <w:i w:val="0"/>
          <w:color w:val="1B2430"/>
          <w:sz w:val="20"/>
        </w:rPr>
        <w:t>Northstar Housing (Synthetic) Holdings LLC</w:t>
      </w:r>
      <w:r>
        <w:rPr>
          <w:rFonts w:ascii="Calibri" w:hAnsi="Calibri"/>
          <w:b w:val="0"/>
          <w:i w:val="0"/>
          <w:color w:val="1B2430"/>
          <w:sz w:val="20"/>
        </w:rPr>
        <w:t xml:space="preserve"> — HoldCo, a Texas limited liability company</w:t>
      </w:r>
    </w:p>
    <w:p>
      <w:pPr>
        <w:spacing w:after="140" w:line="276" w:lineRule="auto"/>
      </w:pPr>
      <w:r>
        <w:rPr>
          <w:rFonts w:ascii="Calibri" w:hAnsi="Calibri"/>
          <w:b w:val="0"/>
          <w:i w:val="0"/>
          <w:color w:val="1B2430"/>
          <w:sz w:val="20"/>
        </w:rPr>
        <w:t>Holds: Equity in every operating entity; the cap table, the governance, and the investor rights sit here.</w:t>
      </w:r>
    </w:p>
    <w:p>
      <w:pPr>
        <w:spacing w:after="140" w:line="276" w:lineRule="auto"/>
      </w:pPr>
      <w:r>
        <w:rPr>
          <w:rFonts w:ascii="Calibri" w:hAnsi="Calibri"/>
          <w:b w:val="0"/>
          <w:i w:val="0"/>
          <w:color w:val="1B2430"/>
          <w:sz w:val="20"/>
        </w:rPr>
        <w:t>Ownership and control belong one level above the business that carries the liability, so a claim against operations reaches the operating entity and stops there, and so a new investor or a new line of business is admitted without reopening the operating company's paper.</w:t>
      </w:r>
    </w:p>
    <w:p>
      <w:pPr>
        <w:spacing w:after="140" w:line="276" w:lineRule="auto"/>
      </w:pPr>
      <w:r>
        <w:rPr>
          <w:rFonts w:ascii="Calibri" w:hAnsi="Calibri"/>
          <w:b/>
          <w:i w:val="0"/>
          <w:color w:val="1B2430"/>
          <w:sz w:val="20"/>
        </w:rPr>
        <w:t>Northstar Housing (Synthetic) PropCo 1 LLC</w:t>
      </w:r>
      <w:r>
        <w:rPr>
          <w:rFonts w:ascii="Calibri" w:hAnsi="Calibri"/>
          <w:b w:val="0"/>
          <w:i w:val="0"/>
          <w:color w:val="1B2430"/>
          <w:sz w:val="20"/>
        </w:rPr>
        <w:t xml:space="preserve"> — Property-owning entity, a Texas limited liability company</w:t>
      </w:r>
    </w:p>
    <w:p>
      <w:pPr>
        <w:spacing w:after="140" w:line="276" w:lineRule="auto"/>
      </w:pPr>
      <w:r>
        <w:rPr>
          <w:rFonts w:ascii="Calibri" w:hAnsi="Calibri"/>
          <w:b w:val="0"/>
          <w:i w:val="0"/>
          <w:color w:val="1B2430"/>
          <w:sz w:val="20"/>
        </w:rPr>
        <w:t>Owned by Northstar Housing (Synthetic) Holdings LLC.</w:t>
      </w:r>
    </w:p>
    <w:p>
      <w:pPr>
        <w:spacing w:after="140" w:line="276" w:lineRule="auto"/>
      </w:pPr>
      <w:r>
        <w:rPr>
          <w:rFonts w:ascii="Calibri" w:hAnsi="Calibri"/>
          <w:b w:val="0"/>
          <w:i w:val="0"/>
          <w:color w:val="1B2430"/>
          <w:sz w:val="20"/>
        </w:rPr>
        <w:t>Holds: Title to the real property, and the mortgage.</w:t>
      </w:r>
    </w:p>
    <w:p>
      <w:pPr>
        <w:spacing w:after="140" w:line="276" w:lineRule="auto"/>
      </w:pPr>
      <w:r>
        <w:rPr>
          <w:rFonts w:ascii="Calibri" w:hAnsi="Calibri"/>
          <w:b w:val="0"/>
          <w:i w:val="0"/>
          <w:color w:val="1B2430"/>
          <w:sz w:val="20"/>
        </w:rPr>
        <w:t>Each property sits alone so a judgment, an environmental claim, or a lender's remedy at one cannot reach another, and so a single asset can be sold or refinanced without disturbing the rest.</w:t>
      </w:r>
    </w:p>
    <w:p>
      <w:pPr>
        <w:spacing w:after="140" w:line="276" w:lineRule="auto"/>
      </w:pPr>
      <w:r>
        <w:rPr>
          <w:rFonts w:ascii="Calibri" w:hAnsi="Calibri"/>
          <w:b/>
          <w:i w:val="0"/>
          <w:color w:val="1B2430"/>
          <w:sz w:val="20"/>
        </w:rPr>
        <w:t>Northstar Housing (Synthetic) PropCo 2 LLC</w:t>
      </w:r>
      <w:r>
        <w:rPr>
          <w:rFonts w:ascii="Calibri" w:hAnsi="Calibri"/>
          <w:b w:val="0"/>
          <w:i w:val="0"/>
          <w:color w:val="1B2430"/>
          <w:sz w:val="20"/>
        </w:rPr>
        <w:t xml:space="preserve"> — Property-owning entity, a Texas limited liability company</w:t>
      </w:r>
    </w:p>
    <w:p>
      <w:pPr>
        <w:spacing w:after="140" w:line="276" w:lineRule="auto"/>
      </w:pPr>
      <w:r>
        <w:rPr>
          <w:rFonts w:ascii="Calibri" w:hAnsi="Calibri"/>
          <w:b w:val="0"/>
          <w:i w:val="0"/>
          <w:color w:val="1B2430"/>
          <w:sz w:val="20"/>
        </w:rPr>
        <w:t>Owned by Northstar Housing (Synthetic) Holdings LLC.</w:t>
      </w:r>
    </w:p>
    <w:p>
      <w:pPr>
        <w:spacing w:after="140" w:line="276" w:lineRule="auto"/>
      </w:pPr>
      <w:r>
        <w:rPr>
          <w:rFonts w:ascii="Calibri" w:hAnsi="Calibri"/>
          <w:b w:val="0"/>
          <w:i w:val="0"/>
          <w:color w:val="1B2430"/>
          <w:sz w:val="20"/>
        </w:rPr>
        <w:t>Holds: Title to the real property, and the mortgage.</w:t>
      </w:r>
    </w:p>
    <w:p>
      <w:pPr>
        <w:spacing w:after="140" w:line="276" w:lineRule="auto"/>
      </w:pPr>
      <w:r>
        <w:rPr>
          <w:rFonts w:ascii="Calibri" w:hAnsi="Calibri"/>
          <w:b w:val="0"/>
          <w:i w:val="0"/>
          <w:color w:val="1B2430"/>
          <w:sz w:val="20"/>
        </w:rPr>
        <w:t>One entity per asset, for the same reason — isolation is only real if the assets are not pooled.</w:t>
      </w:r>
    </w:p>
    <w:p>
      <w:pPr>
        <w:spacing w:after="140" w:line="276" w:lineRule="auto"/>
      </w:pPr>
      <w:r>
        <w:rPr>
          <w:rFonts w:ascii="Calibri" w:hAnsi="Calibri"/>
          <w:b/>
          <w:i w:val="0"/>
          <w:color w:val="1B2430"/>
          <w:sz w:val="20"/>
        </w:rPr>
        <w:t>Northstar Housing (Synthetic) Operations LLC</w:t>
      </w:r>
      <w:r>
        <w:rPr>
          <w:rFonts w:ascii="Calibri" w:hAnsi="Calibri"/>
          <w:b w:val="0"/>
          <w:i w:val="0"/>
          <w:color w:val="1B2430"/>
          <w:sz w:val="20"/>
        </w:rPr>
        <w:t xml:space="preserve"> — OpCo, a Texas limited liability company</w:t>
      </w:r>
    </w:p>
    <w:p>
      <w:pPr>
        <w:spacing w:after="140" w:line="276" w:lineRule="auto"/>
      </w:pPr>
      <w:r>
        <w:rPr>
          <w:rFonts w:ascii="Calibri" w:hAnsi="Calibri"/>
          <w:b w:val="0"/>
          <w:i w:val="0"/>
          <w:color w:val="1B2430"/>
          <w:sz w:val="20"/>
        </w:rPr>
        <w:t>Owned by Northstar Housing (Synthetic) Holdings LLC.</w:t>
      </w:r>
    </w:p>
    <w:p>
      <w:pPr>
        <w:spacing w:after="140" w:line="276" w:lineRule="auto"/>
      </w:pPr>
      <w:r>
        <w:rPr>
          <w:rFonts w:ascii="Calibri" w:hAnsi="Calibri"/>
          <w:b w:val="0"/>
          <w:i w:val="0"/>
          <w:color w:val="1B2430"/>
          <w:sz w:val="20"/>
        </w:rPr>
        <w:t>Holds: Employees, customer contracts, vendor contracts, insurance, and the day-to-day liability.</w:t>
      </w:r>
    </w:p>
    <w:p>
      <w:pPr>
        <w:spacing w:after="140" w:line="276" w:lineRule="auto"/>
      </w:pPr>
      <w:r>
        <w:rPr>
          <w:rFonts w:ascii="Calibri" w:hAnsi="Calibri"/>
          <w:b w:val="0"/>
          <w:i w:val="0"/>
          <w:color w:val="1B2430"/>
          <w:sz w:val="20"/>
        </w:rPr>
        <w:t>Everything that can generate a claim is concentrated in the entity that owns the least. Where there is also real property, OpCo leases it from PropCo at a market rent — which keeps the building out of reach of an operating claim and leaves a rent stream that survives a sale of the business.</w:t>
      </w:r>
    </w:p>
    <w:p>
      <w:pPr>
        <w:spacing w:before="300" w:after="120"/>
        <w:pBdr>
          <w:bottom w:val="single" w:sz="4" w:space="4" w:color="B8963E"/>
        </w:pBdr>
      </w:pPr>
      <w:r>
        <w:rPr>
          <w:rFonts w:ascii="Georgia" w:hAnsi="Georgia"/>
          <w:b/>
          <w:color w:val="0B1F3A"/>
          <w:sz w:val="24"/>
        </w:rPr>
        <w:t>The alternatives</w:t>
      </w:r>
    </w:p>
    <w:p>
      <w:pPr>
        <w:spacing w:after="140" w:line="276" w:lineRule="auto"/>
      </w:pPr>
      <w:r>
        <w:rPr>
          <w:rFonts w:ascii="Calibri" w:hAnsi="Calibri"/>
          <w:b w:val="0"/>
          <w:i w:val="0"/>
          <w:color w:val="1B2430"/>
          <w:sz w:val="20"/>
        </w:rPr>
        <w:t>Structure is a choice, not a verdict. These are the other ways this could be built, with what each one buys and what it costs.</w:t>
      </w:r>
    </w:p>
    <w:p>
      <w:pPr>
        <w:spacing w:before="220" w:after="80"/>
      </w:pPr>
      <w:r>
        <w:rPr>
          <w:rFonts w:ascii="Georgia" w:hAnsi="Georgia"/>
          <w:b/>
          <w:color w:val="96792F"/>
          <w:sz w:val="21"/>
        </w:rPr>
        <w:t>HoldCo with 3 entities beneath — recommended</w:t>
      </w:r>
    </w:p>
    <w:p>
      <w:pPr>
        <w:spacing w:after="140" w:line="276" w:lineRule="auto"/>
      </w:pPr>
      <w:r>
        <w:rPr>
          <w:rFonts w:ascii="Calibri" w:hAnsi="Calibri"/>
          <w:b w:val="0"/>
          <w:i w:val="0"/>
          <w:color w:val="1B2430"/>
          <w:sz w:val="20"/>
        </w:rPr>
        <w:t>4 entities: Northstar Housing (Synthetic) Holdings LLC (HoldCo), Northstar Housing (Synthetic) PropCo 1 LLC (Property-owning entity), Northstar Housing (Synthetic) PropCo 2 LLC (Property-owning entity), Northstar Housing (Synthetic) Operations LLC (OpCo)</w:t>
      </w:r>
    </w:p>
    <w:p>
      <w:pPr>
        <w:spacing w:after="140" w:line="276" w:lineRule="auto"/>
      </w:pPr>
      <w:r>
        <w:rPr>
          <w:rFonts w:ascii="Calibri" w:hAnsi="Calibri"/>
          <w:b w:val="0"/>
          <w:i/>
          <w:color w:val="1B2430"/>
          <w:sz w:val="20"/>
        </w:rPr>
        <w:t>What it protects:</w:t>
      </w:r>
    </w:p>
    <w:p>
      <w:pPr>
        <w:pStyle w:val="ListBullet"/>
        <w:spacing w:after="80"/>
      </w:pPr>
      <w:r>
        <w:rPr>
          <w:rFonts w:ascii="Calibri" w:hAnsi="Calibri"/>
          <w:b w:val="0"/>
          <w:i w:val="0"/>
          <w:color w:val="1B2430"/>
          <w:sz w:val="20"/>
        </w:rPr>
        <w:t>Ownership and control sit above the entity that carries the liability</w:t>
      </w:r>
    </w:p>
    <w:p>
      <w:pPr>
        <w:pStyle w:val="ListBullet"/>
        <w:spacing w:after="80"/>
      </w:pPr>
      <w:r>
        <w:rPr>
          <w:rFonts w:ascii="Calibri" w:hAnsi="Calibri"/>
          <w:b w:val="0"/>
          <w:i w:val="0"/>
          <w:color w:val="1B2430"/>
          <w:sz w:val="20"/>
        </w:rPr>
        <w:t>Each property is isolated from every other and from operations</w:t>
      </w:r>
    </w:p>
    <w:p>
      <w:pPr>
        <w:pStyle w:val="ListBullet"/>
        <w:spacing w:after="80"/>
      </w:pPr>
      <w:r>
        <w:rPr>
          <w:rFonts w:ascii="Calibri" w:hAnsi="Calibri"/>
          <w:b w:val="0"/>
          <w:i w:val="0"/>
          <w:color w:val="1B2430"/>
          <w:sz w:val="20"/>
        </w:rPr>
        <w:t>A new investor or a new line is admitted without reopening existing paper</w:t>
      </w:r>
    </w:p>
    <w:p>
      <w:pPr>
        <w:spacing w:after="140" w:line="276" w:lineRule="auto"/>
      </w:pPr>
      <w:r>
        <w:rPr>
          <w:rFonts w:ascii="Calibri" w:hAnsi="Calibri"/>
          <w:b w:val="0"/>
          <w:i/>
          <w:color w:val="1B2430"/>
          <w:sz w:val="20"/>
        </w:rPr>
        <w:t>What it costs:</w:t>
      </w:r>
    </w:p>
    <w:p>
      <w:pPr>
        <w:pStyle w:val="ListBullet"/>
        <w:spacing w:after="80"/>
      </w:pPr>
      <w:r>
        <w:rPr>
          <w:rFonts w:ascii="Calibri" w:hAnsi="Calibri"/>
          <w:b w:val="0"/>
          <w:i w:val="0"/>
          <w:color w:val="1B2430"/>
          <w:sz w:val="20"/>
        </w:rPr>
        <w:t>4 formations, 4 registered agents, and roughly $3,200 a year in filings and agent fees before any accounting</w:t>
      </w:r>
    </w:p>
    <w:p>
      <w:pPr>
        <w:pStyle w:val="ListBullet"/>
        <w:spacing w:after="80"/>
      </w:pPr>
      <w:r>
        <w:rPr>
          <w:rFonts w:ascii="Calibri" w:hAnsi="Calibri"/>
          <w:b w:val="0"/>
          <w:i w:val="0"/>
          <w:color w:val="1B2430"/>
          <w:sz w:val="20"/>
        </w:rPr>
        <w:t>Separate books, separate bank accounts, and intercompany agreements that have to be real — a structure ignored in practice is pierced in litigation</w:t>
      </w:r>
    </w:p>
    <w:p>
      <w:pPr>
        <w:pStyle w:val="ListBullet"/>
        <w:spacing w:after="80"/>
      </w:pPr>
      <w:r>
        <w:rPr>
          <w:rFonts w:ascii="Calibri" w:hAnsi="Calibri"/>
          <w:b w:val="0"/>
          <w:i w:val="0"/>
          <w:color w:val="1B2430"/>
          <w:sz w:val="20"/>
        </w:rPr>
        <w:t>More moving parts for a lender or a buyer to diligence</w:t>
      </w:r>
    </w:p>
    <w:p>
      <w:pPr>
        <w:spacing w:after="140" w:line="276" w:lineRule="auto"/>
      </w:pPr>
      <w:r>
        <w:rPr>
          <w:rFonts w:ascii="Calibri" w:hAnsi="Calibri"/>
          <w:b w:val="0"/>
          <w:i/>
          <w:color w:val="1B2430"/>
          <w:sz w:val="20"/>
        </w:rPr>
        <w:t>Choose it when:</w:t>
      </w:r>
      <w:r>
        <w:rPr>
          <w:rFonts w:ascii="Calibri" w:hAnsi="Calibri"/>
          <w:b w:val="0"/>
          <w:i w:val="0"/>
          <w:color w:val="1B2430"/>
          <w:sz w:val="20"/>
        </w:rPr>
        <w:t xml:space="preserve"> There is more than one thing worth protecting from the others, or outside capital is coming in, or the plan involves adding assets, locations, or partners over time.</w:t>
      </w:r>
    </w:p>
    <w:p>
      <w:pPr>
        <w:spacing w:before="220" w:after="80"/>
      </w:pPr>
      <w:r>
        <w:rPr>
          <w:rFonts w:ascii="Georgia" w:hAnsi="Georgia"/>
          <w:b/>
          <w:color w:val="96792F"/>
          <w:sz w:val="21"/>
        </w:rPr>
        <w:t>HoldCo with a single operating entity</w:t>
      </w:r>
    </w:p>
    <w:p>
      <w:pPr>
        <w:spacing w:after="140" w:line="276" w:lineRule="auto"/>
      </w:pPr>
      <w:r>
        <w:rPr>
          <w:rFonts w:ascii="Calibri" w:hAnsi="Calibri"/>
          <w:b w:val="0"/>
          <w:i w:val="0"/>
          <w:color w:val="1B2430"/>
          <w:sz w:val="20"/>
        </w:rPr>
        <w:t>Two entities: ownership above, everything operational below.</w:t>
      </w:r>
    </w:p>
    <w:p>
      <w:pPr>
        <w:spacing w:after="140" w:line="276" w:lineRule="auto"/>
      </w:pPr>
      <w:r>
        <w:rPr>
          <w:rFonts w:ascii="Calibri" w:hAnsi="Calibri"/>
          <w:b w:val="0"/>
          <w:i/>
          <w:color w:val="1B2430"/>
          <w:sz w:val="20"/>
        </w:rPr>
        <w:t>What it protects:</w:t>
      </w:r>
    </w:p>
    <w:p>
      <w:pPr>
        <w:pStyle w:val="ListBullet"/>
        <w:spacing w:after="80"/>
      </w:pPr>
      <w:r>
        <w:rPr>
          <w:rFonts w:ascii="Calibri" w:hAnsi="Calibri"/>
          <w:b w:val="0"/>
          <w:i w:val="0"/>
          <w:color w:val="1B2430"/>
          <w:sz w:val="20"/>
        </w:rPr>
        <w:t>Ownership and control sit above the liability</w:t>
      </w:r>
    </w:p>
    <w:p>
      <w:pPr>
        <w:pStyle w:val="ListBullet"/>
        <w:spacing w:after="80"/>
      </w:pPr>
      <w:r>
        <w:rPr>
          <w:rFonts w:ascii="Calibri" w:hAnsi="Calibri"/>
          <w:b w:val="0"/>
          <w:i w:val="0"/>
          <w:color w:val="1B2430"/>
          <w:sz w:val="20"/>
        </w:rPr>
        <w:t>A new investor is admitted at the HoldCo without touching operating paper</w:t>
      </w:r>
    </w:p>
    <w:p>
      <w:pPr>
        <w:spacing w:after="140" w:line="276" w:lineRule="auto"/>
      </w:pPr>
      <w:r>
        <w:rPr>
          <w:rFonts w:ascii="Calibri" w:hAnsi="Calibri"/>
          <w:b w:val="0"/>
          <w:i/>
          <w:color w:val="1B2430"/>
          <w:sz w:val="20"/>
        </w:rPr>
        <w:t>What it costs:</w:t>
      </w:r>
    </w:p>
    <w:p>
      <w:pPr>
        <w:pStyle w:val="ListBullet"/>
        <w:spacing w:after="80"/>
      </w:pPr>
      <w:r>
        <w:rPr>
          <w:rFonts w:ascii="Calibri" w:hAnsi="Calibri"/>
          <w:b w:val="0"/>
          <w:i w:val="0"/>
          <w:color w:val="1B2430"/>
          <w:sz w:val="20"/>
        </w:rPr>
        <w:t>The operating entity's assets remain reachable by each other — the property, the licence, and the intangibles all sit in the same box</w:t>
      </w:r>
    </w:p>
    <w:p>
      <w:pPr>
        <w:pStyle w:val="ListBullet"/>
        <w:spacing w:after="80"/>
      </w:pPr>
      <w:r>
        <w:rPr>
          <w:rFonts w:ascii="Calibri" w:hAnsi="Calibri"/>
          <w:b w:val="0"/>
          <w:i w:val="0"/>
          <w:color w:val="1B2430"/>
          <w:sz w:val="20"/>
        </w:rPr>
        <w:t>Splitting them later means retitling assets, re-consenting lenders, and in a licensed business a fresh regulatory approval</w:t>
      </w:r>
    </w:p>
    <w:p>
      <w:pPr>
        <w:spacing w:after="140" w:line="276" w:lineRule="auto"/>
      </w:pPr>
      <w:r>
        <w:rPr>
          <w:rFonts w:ascii="Calibri" w:hAnsi="Calibri"/>
          <w:b w:val="0"/>
          <w:i/>
          <w:color w:val="1B2430"/>
          <w:sz w:val="20"/>
        </w:rPr>
        <w:t>Choose it when:</w:t>
      </w:r>
      <w:r>
        <w:rPr>
          <w:rFonts w:ascii="Calibri" w:hAnsi="Calibri"/>
          <w:b w:val="0"/>
          <w:i w:val="0"/>
          <w:color w:val="1B2430"/>
          <w:sz w:val="20"/>
        </w:rPr>
        <w:t xml:space="preserve"> Capital is tight now and the assets worth separating are not yet acquired. Revisit before the second property, the second location, or the first outside dollar.</w:t>
      </w:r>
    </w:p>
    <w:p>
      <w:pPr>
        <w:spacing w:before="220" w:after="80"/>
      </w:pPr>
      <w:r>
        <w:rPr>
          <w:rFonts w:ascii="Georgia" w:hAnsi="Georgia"/>
          <w:b/>
          <w:color w:val="96792F"/>
          <w:sz w:val="21"/>
        </w:rPr>
        <w:t>Single entity</w:t>
      </w:r>
    </w:p>
    <w:p>
      <w:pPr>
        <w:spacing w:after="140" w:line="276" w:lineRule="auto"/>
      </w:pPr>
      <w:r>
        <w:rPr>
          <w:rFonts w:ascii="Calibri" w:hAnsi="Calibri"/>
          <w:b w:val="0"/>
          <w:i w:val="0"/>
          <w:color w:val="1B2430"/>
          <w:sz w:val="20"/>
        </w:rPr>
        <w:t>One limited liability company holding everything.</w:t>
      </w:r>
    </w:p>
    <w:p>
      <w:pPr>
        <w:spacing w:after="140" w:line="276" w:lineRule="auto"/>
      </w:pPr>
      <w:r>
        <w:rPr>
          <w:rFonts w:ascii="Calibri" w:hAnsi="Calibri"/>
          <w:b w:val="0"/>
          <w:i/>
          <w:color w:val="1B2430"/>
          <w:sz w:val="20"/>
        </w:rPr>
        <w:t>What it protects:</w:t>
      </w:r>
    </w:p>
    <w:p>
      <w:pPr>
        <w:pStyle w:val="ListBullet"/>
        <w:spacing w:after="80"/>
      </w:pPr>
      <w:r>
        <w:rPr>
          <w:rFonts w:ascii="Calibri" w:hAnsi="Calibri"/>
          <w:b w:val="0"/>
          <w:i w:val="0"/>
          <w:color w:val="1B2430"/>
          <w:sz w:val="20"/>
        </w:rPr>
        <w:t>The owners personally, against ordinary business liability</w:t>
      </w:r>
    </w:p>
    <w:p>
      <w:pPr>
        <w:spacing w:after="140" w:line="276" w:lineRule="auto"/>
      </w:pPr>
      <w:r>
        <w:rPr>
          <w:rFonts w:ascii="Calibri" w:hAnsi="Calibri"/>
          <w:b w:val="0"/>
          <w:i/>
          <w:color w:val="1B2430"/>
          <w:sz w:val="20"/>
        </w:rPr>
        <w:t>What it costs:</w:t>
      </w:r>
    </w:p>
    <w:p>
      <w:pPr>
        <w:pStyle w:val="ListBullet"/>
        <w:spacing w:after="80"/>
      </w:pPr>
      <w:r>
        <w:rPr>
          <w:rFonts w:ascii="Calibri" w:hAnsi="Calibri"/>
          <w:b w:val="0"/>
          <w:i w:val="0"/>
          <w:color w:val="1B2430"/>
          <w:sz w:val="20"/>
        </w:rPr>
        <w:t>Every asset is reachable by every claim — an operating judgment reaches the real estate, the licence, and the intellectual property alike</w:t>
      </w:r>
    </w:p>
    <w:p>
      <w:pPr>
        <w:pStyle w:val="ListBullet"/>
        <w:spacing w:after="80"/>
      </w:pPr>
      <w:r>
        <w:rPr>
          <w:rFonts w:ascii="Calibri" w:hAnsi="Calibri"/>
          <w:b w:val="0"/>
          <w:i w:val="0"/>
          <w:color w:val="1B2430"/>
          <w:sz w:val="20"/>
        </w:rPr>
        <w:t>A single asset cannot be sold, refinanced, or partnered on without the whole company coming with it</w:t>
      </w:r>
    </w:p>
    <w:p>
      <w:pPr>
        <w:pStyle w:val="ListBullet"/>
        <w:spacing w:after="80"/>
      </w:pPr>
      <w:r>
        <w:rPr>
          <w:rFonts w:ascii="Calibri" w:hAnsi="Calibri"/>
          <w:b w:val="0"/>
          <w:i w:val="0"/>
          <w:color w:val="1B2430"/>
          <w:sz w:val="20"/>
        </w:rPr>
        <w:t>A new investor buys into everything rather than into one thing</w:t>
      </w:r>
    </w:p>
    <w:p>
      <w:pPr>
        <w:spacing w:after="140" w:line="276" w:lineRule="auto"/>
      </w:pPr>
      <w:r>
        <w:rPr>
          <w:rFonts w:ascii="Calibri" w:hAnsi="Calibri"/>
          <w:b w:val="0"/>
          <w:i/>
          <w:color w:val="1B2430"/>
          <w:sz w:val="20"/>
        </w:rPr>
        <w:t>Choose it when:</w:t>
      </w:r>
      <w:r>
        <w:rPr>
          <w:rFonts w:ascii="Calibri" w:hAnsi="Calibri"/>
          <w:b w:val="0"/>
          <w:i w:val="0"/>
          <w:color w:val="1B2430"/>
          <w:sz w:val="20"/>
        </w:rPr>
        <w:t xml:space="preserve"> The business has one line, no outside capital, no real property, no licence, and nothing intangible worth ring-fencing — and it is expected to stay that way for the hold period.</w:t>
      </w:r>
    </w:p>
    <w:p>
      <w:pPr>
        <w:spacing w:before="300" w:after="120"/>
        <w:pBdr>
          <w:bottom w:val="single" w:sz="4" w:space="4" w:color="B8963E"/>
        </w:pBdr>
      </w:pPr>
      <w:r>
        <w:rPr>
          <w:rFonts w:ascii="Georgia" w:hAnsi="Georgia"/>
          <w:b/>
          <w:color w:val="0B1F3A"/>
          <w:sz w:val="24"/>
        </w:rPr>
        <w:t>Control</w:t>
      </w:r>
    </w:p>
    <w:p>
      <w:pPr>
        <w:pStyle w:val="ListBullet"/>
        <w:spacing w:after="80"/>
      </w:pPr>
      <w:r>
        <w:rPr>
          <w:rFonts w:ascii="Calibri" w:hAnsi="Calibri"/>
          <w:b w:val="0"/>
          <w:i w:val="0"/>
          <w:color w:val="1B2430"/>
          <w:sz w:val="20"/>
        </w:rPr>
        <w:t>Management: member managed</w:t>
      </w:r>
    </w:p>
    <w:p>
      <w:pPr>
        <w:pStyle w:val="ListBullet"/>
        <w:spacing w:after="80"/>
      </w:pPr>
      <w:r>
        <w:rPr>
          <w:rFonts w:ascii="Calibri" w:hAnsi="Calibri"/>
          <w:b w:val="0"/>
          <w:i w:val="0"/>
          <w:color w:val="1B2430"/>
          <w:sz w:val="20"/>
        </w:rPr>
        <w:t>Either principal may act alone up to $60,000</w:t>
      </w:r>
    </w:p>
    <w:p>
      <w:pPr>
        <w:pStyle w:val="ListBullet"/>
        <w:spacing w:after="80"/>
      </w:pPr>
      <w:r>
        <w:rPr>
          <w:rFonts w:ascii="Calibri" w:hAnsi="Calibri"/>
          <w:b w:val="0"/>
          <w:i w:val="0"/>
          <w:color w:val="1B2430"/>
          <w:sz w:val="20"/>
        </w:rPr>
        <w:t>Reserved matters: 13, decided by unanimous</w:t>
      </w:r>
    </w:p>
    <w:p>
      <w:pPr>
        <w:pStyle w:val="ListBullet"/>
        <w:spacing w:after="80"/>
      </w:pPr>
      <w:r>
        <w:rPr>
          <w:rFonts w:ascii="Calibri" w:hAnsi="Calibri"/>
          <w:b w:val="0"/>
          <w:i w:val="0"/>
          <w:color w:val="1B2430"/>
          <w:sz w:val="20"/>
        </w:rPr>
        <w:t>Deadlock ladder: yes</w:t>
      </w:r>
    </w:p>
    <w:p>
      <w:pPr>
        <w:pStyle w:val="ListBullet"/>
        <w:spacing w:after="80"/>
      </w:pPr>
      <w:r>
        <w:rPr>
          <w:rFonts w:ascii="Calibri" w:hAnsi="Calibri"/>
          <w:b w:val="0"/>
          <w:i w:val="0"/>
          <w:color w:val="1B2430"/>
          <w:sz w:val="20"/>
        </w:rPr>
        <w:t>Buy-sell: shotgun</w:t>
      </w:r>
    </w:p>
    <w:p>
      <w:pPr>
        <w:spacing w:before="220" w:after="80"/>
      </w:pPr>
      <w:r>
        <w:rPr>
          <w:rFonts w:ascii="Georgia" w:hAnsi="Georgia"/>
          <w:b/>
          <w:color w:val="96792F"/>
          <w:sz w:val="21"/>
        </w:rPr>
        <w:t>Reserved matters</w:t>
      </w:r>
    </w:p>
    <w:p>
      <w:pPr>
        <w:spacing w:after="140" w:line="276" w:lineRule="auto"/>
      </w:pPr>
      <w:r>
        <w:rPr>
          <w:rFonts w:ascii="Calibri" w:hAnsi="Calibri"/>
          <w:b w:val="0"/>
          <w:i w:val="0"/>
          <w:color w:val="1B2430"/>
          <w:sz w:val="20"/>
        </w:rPr>
        <w:t>1. Incurring, guaranteeing, or refinancing debt, or any contract above the ordinary course threshold or running beyond twelve (12) months</w:t>
      </w:r>
    </w:p>
    <w:p>
      <w:pPr>
        <w:spacing w:after="140" w:line="276" w:lineRule="auto"/>
      </w:pPr>
      <w:r>
        <w:rPr>
          <w:rFonts w:ascii="Calibri" w:hAnsi="Calibri"/>
          <w:b w:val="0"/>
          <w:i w:val="0"/>
          <w:color w:val="1B2430"/>
          <w:sz w:val="20"/>
        </w:rPr>
        <w:t>2. Issuing new interests, admitting a member, or granting any option or right to acquire one</w:t>
      </w:r>
    </w:p>
    <w:p>
      <w:pPr>
        <w:spacing w:after="140" w:line="276" w:lineRule="auto"/>
      </w:pPr>
      <w:r>
        <w:rPr>
          <w:rFonts w:ascii="Calibri" w:hAnsi="Calibri"/>
          <w:b w:val="0"/>
          <w:i w:val="0"/>
          <w:color w:val="1B2430"/>
          <w:sz w:val="20"/>
        </w:rPr>
        <w:t>3. Selling, leasing, transferring, or encumbering a material asset outside the ordinary course</w:t>
      </w:r>
    </w:p>
    <w:p>
      <w:pPr>
        <w:spacing w:after="140" w:line="276" w:lineRule="auto"/>
      </w:pPr>
      <w:r>
        <w:rPr>
          <w:rFonts w:ascii="Calibri" w:hAnsi="Calibri"/>
          <w:b w:val="0"/>
          <w:i w:val="0"/>
          <w:color w:val="1B2430"/>
          <w:sz w:val="20"/>
        </w:rPr>
        <w:t>4. Merging, converting, consolidating, reorganising, dissolving, or filing for bankruptcy</w:t>
      </w:r>
    </w:p>
    <w:p>
      <w:pPr>
        <w:spacing w:after="140" w:line="276" w:lineRule="auto"/>
      </w:pPr>
      <w:r>
        <w:rPr>
          <w:rFonts w:ascii="Calibri" w:hAnsi="Calibri"/>
          <w:b w:val="0"/>
          <w:i w:val="0"/>
          <w:color w:val="1B2430"/>
          <w:sz w:val="20"/>
        </w:rPr>
        <w:t>5. Amending the certificate of formation or the operating agreement</w:t>
      </w:r>
    </w:p>
    <w:p>
      <w:pPr>
        <w:spacing w:after="140" w:line="276" w:lineRule="auto"/>
      </w:pPr>
      <w:r>
        <w:rPr>
          <w:rFonts w:ascii="Calibri" w:hAnsi="Calibri"/>
          <w:b w:val="0"/>
          <w:i w:val="0"/>
          <w:color w:val="1B2430"/>
          <w:sz w:val="20"/>
        </w:rPr>
        <w:t>6. Distributions outside the agreed waterfall, and approving a capital call</w:t>
      </w:r>
    </w:p>
    <w:p>
      <w:pPr>
        <w:spacing w:after="140" w:line="276" w:lineRule="auto"/>
      </w:pPr>
      <w:r>
        <w:rPr>
          <w:rFonts w:ascii="Calibri" w:hAnsi="Calibri"/>
          <w:b w:val="0"/>
          <w:i w:val="0"/>
          <w:color w:val="1B2430"/>
          <w:sz w:val="20"/>
        </w:rPr>
        <w:t>7. Any business activity materially outside the stated purpose</w:t>
      </w:r>
    </w:p>
    <w:p>
      <w:pPr>
        <w:spacing w:after="140" w:line="276" w:lineRule="auto"/>
      </w:pPr>
      <w:r>
        <w:rPr>
          <w:rFonts w:ascii="Calibri" w:hAnsi="Calibri"/>
          <w:b w:val="0"/>
          <w:i w:val="0"/>
          <w:color w:val="1B2430"/>
          <w:sz w:val="20"/>
        </w:rPr>
        <w:t>8. Hiring, terminating, or setting compensation for a senior executive, or engaging a member's affiliate as a service provider</w:t>
      </w:r>
    </w:p>
    <w:p>
      <w:pPr>
        <w:spacing w:after="140" w:line="276" w:lineRule="auto"/>
      </w:pPr>
      <w:r>
        <w:rPr>
          <w:rFonts w:ascii="Calibri" w:hAnsi="Calibri"/>
          <w:b w:val="0"/>
          <w:i w:val="0"/>
          <w:color w:val="1B2430"/>
          <w:sz w:val="20"/>
        </w:rPr>
        <w:t>9. Commencing or settling litigation above the ordinary course threshold</w:t>
      </w:r>
    </w:p>
    <w:p>
      <w:pPr>
        <w:spacing w:after="140" w:line="276" w:lineRule="auto"/>
      </w:pPr>
      <w:r>
        <w:rPr>
          <w:rFonts w:ascii="Calibri" w:hAnsi="Calibri"/>
          <w:b w:val="0"/>
          <w:i w:val="0"/>
          <w:color w:val="1B2430"/>
          <w:sz w:val="20"/>
        </w:rPr>
        <w:t>10. Changing accountants, tax classification, or any material tax election</w:t>
      </w:r>
    </w:p>
    <w:p>
      <w:pPr>
        <w:spacing w:after="140" w:line="276" w:lineRule="auto"/>
      </w:pPr>
      <w:r>
        <w:rPr>
          <w:rFonts w:ascii="Calibri" w:hAnsi="Calibri"/>
          <w:b w:val="0"/>
          <w:i w:val="0"/>
          <w:color w:val="1B2430"/>
          <w:sz w:val="20"/>
        </w:rPr>
        <w:t>11. Acquiring or disposing of real property</w:t>
      </w:r>
    </w:p>
    <w:p>
      <w:pPr>
        <w:spacing w:after="140" w:line="276" w:lineRule="auto"/>
      </w:pPr>
      <w:r>
        <w:rPr>
          <w:rFonts w:ascii="Calibri" w:hAnsi="Calibri"/>
          <w:b w:val="0"/>
          <w:i w:val="0"/>
          <w:color w:val="1B2430"/>
          <w:sz w:val="20"/>
        </w:rPr>
        <w:t>12. Granting a mortgage, deed of trust, or other encumbrance on real property</w:t>
      </w:r>
    </w:p>
    <w:p>
      <w:pPr>
        <w:spacing w:after="140" w:line="276" w:lineRule="auto"/>
      </w:pPr>
      <w:r>
        <w:rPr>
          <w:rFonts w:ascii="Calibri" w:hAnsi="Calibri"/>
          <w:b w:val="0"/>
          <w:i w:val="0"/>
          <w:color w:val="1B2430"/>
          <w:sz w:val="20"/>
        </w:rPr>
        <w:t>13. Any lease running beyond the ordinary course term, or to a member's affiliate</w:t>
      </w:r>
    </w:p>
    <w:p>
      <w:pPr>
        <w:spacing w:before="220" w:after="80"/>
      </w:pPr>
      <w:r>
        <w:rPr>
          <w:rFonts w:ascii="Georgia" w:hAnsi="Georgia"/>
          <w:b/>
          <w:color w:val="96792F"/>
          <w:sz w:val="21"/>
        </w:rPr>
        <w:t>Deadlock ladder</w:t>
      </w:r>
    </w:p>
    <w:p>
      <w:pPr>
        <w:spacing w:after="140" w:line="276" w:lineRule="auto"/>
      </w:pPr>
      <w:r>
        <w:rPr>
          <w:rFonts w:ascii="Calibri" w:hAnsi="Calibri"/>
          <w:b w:val="0"/>
          <w:i w:val="0"/>
          <w:color w:val="1B2430"/>
          <w:sz w:val="20"/>
        </w:rPr>
        <w:t>1. Ten (10) business days from the day either party first raises the matter in writing, after which either may serve a deadlock notice</w:t>
      </w:r>
    </w:p>
    <w:p>
      <w:pPr>
        <w:spacing w:after="140" w:line="276" w:lineRule="auto"/>
      </w:pPr>
      <w:r>
        <w:rPr>
          <w:rFonts w:ascii="Calibri" w:hAnsi="Calibri"/>
          <w:b w:val="0"/>
          <w:i w:val="0"/>
          <w:color w:val="1B2430"/>
          <w:sz w:val="20"/>
        </w:rPr>
        <w:t>2. A meeting in person or by video within fifteen (15) business days of the notice</w:t>
      </w:r>
    </w:p>
    <w:p>
      <w:pPr>
        <w:spacing w:after="140" w:line="276" w:lineRule="auto"/>
      </w:pPr>
      <w:r>
        <w:rPr>
          <w:rFonts w:ascii="Calibri" w:hAnsi="Calibri"/>
          <w:b w:val="0"/>
          <w:i w:val="0"/>
          <w:color w:val="1B2430"/>
          <w:sz w:val="20"/>
        </w:rPr>
        <w:t>3. Non-binding mediation before a single neutral, completed within thirty (30) days of selection, fees shared equally</w:t>
      </w:r>
    </w:p>
    <w:p>
      <w:pPr>
        <w:spacing w:after="140" w:line="276" w:lineRule="auto"/>
      </w:pPr>
      <w:r>
        <w:rPr>
          <w:rFonts w:ascii="Calibri" w:hAnsi="Calibri"/>
          <w:b w:val="0"/>
          <w:i w:val="0"/>
          <w:color w:val="1B2430"/>
          <w:sz w:val="20"/>
        </w:rPr>
        <w:t>4. Any separately approved exit remedy available forty-five (45) days after the notice — but only if the deadlock materially impairs the company's ability to operate in the ordinary course</w:t>
      </w:r>
    </w:p>
    <w:p>
      <w:pPr>
        <w:spacing w:before="300" w:after="120"/>
        <w:pBdr>
          <w:bottom w:val="single" w:sz="4" w:space="4" w:color="B8963E"/>
        </w:pBdr>
      </w:pPr>
      <w:r>
        <w:rPr>
          <w:rFonts w:ascii="Georgia" w:hAnsi="Georgia"/>
          <w:b/>
          <w:color w:val="0B1F3A"/>
          <w:sz w:val="24"/>
        </w:rPr>
        <w:t>Positions</w:t>
      </w:r>
    </w:p>
    <w:p>
      <w:pPr>
        <w:pStyle w:val="ListBullet"/>
        <w:spacing w:after="80"/>
      </w:pPr>
      <w:r>
        <w:rPr>
          <w:rFonts w:ascii="Calibri" w:hAnsi="Calibri"/>
          <w:b/>
          <w:i w:val="0"/>
          <w:color w:val="1B2430"/>
          <w:sz w:val="20"/>
        </w:rPr>
        <w:t>Entity form.</w:t>
      </w:r>
      <w:r>
        <w:rPr>
          <w:rFonts w:ascii="Calibri" w:hAnsi="Calibri"/>
          <w:b w:val="0"/>
          <w:i w:val="0"/>
          <w:color w:val="1B2430"/>
          <w:sz w:val="20"/>
        </w:rPr>
        <w:t xml:space="preserve"> A limited liability company, formed in Texas. It gives the liability shield without the corporate formalities, and its economics are set by agreement rather than by statute — which is what lets the capital, control, and exit terms below be written at all. </w:t>
      </w:r>
      <w:r>
        <w:rPr>
          <w:rFonts w:ascii="Calibri" w:hAnsi="Calibri"/>
          <w:b w:val="0"/>
          <w:i/>
          <w:color w:val="1B2430"/>
          <w:sz w:val="20"/>
        </w:rPr>
        <w:t>Confirm: Whether any investor or lender requires a corporation, and whether the founders want QSBS treatment, which an LLC cannot deliver.</w:t>
      </w:r>
    </w:p>
    <w:p>
      <w:pPr>
        <w:pStyle w:val="ListBullet"/>
        <w:spacing w:after="80"/>
      </w:pPr>
      <w:r>
        <w:rPr>
          <w:rFonts w:ascii="Calibri" w:hAnsi="Calibri"/>
          <w:b/>
          <w:i w:val="0"/>
          <w:color w:val="1B2430"/>
          <w:sz w:val="20"/>
        </w:rPr>
        <w:t>Tax treatment.</w:t>
      </w:r>
      <w:r>
        <w:rPr>
          <w:rFonts w:ascii="Calibri" w:hAnsi="Calibri"/>
          <w:b w:val="0"/>
          <w:i w:val="0"/>
          <w:color w:val="1B2430"/>
          <w:sz w:val="20"/>
        </w:rPr>
        <w:t xml:space="preserve"> Treated as a partnership for federal and state income tax. Use partnership treatment only as a synthetic modeling assumption until a tax advisor confirms classification, allocations, and elections. </w:t>
      </w:r>
      <w:r>
        <w:rPr>
          <w:rFonts w:ascii="Calibri" w:hAnsi="Calibri"/>
          <w:b w:val="0"/>
          <w:i/>
          <w:color w:val="1B2430"/>
          <w:sz w:val="20"/>
        </w:rPr>
        <w:t>Confirm: Run this past the tax advisor before formation — the election deadline is short and the default is hard to unwind.</w:t>
      </w:r>
    </w:p>
    <w:p>
      <w:pPr>
        <w:pStyle w:val="ListBullet"/>
        <w:spacing w:after="80"/>
      </w:pPr>
      <w:r>
        <w:rPr>
          <w:rFonts w:ascii="Calibri" w:hAnsi="Calibri"/>
          <w:b/>
          <w:i w:val="0"/>
          <w:color w:val="1B2430"/>
          <w:sz w:val="20"/>
        </w:rPr>
        <w:t>Management.</w:t>
      </w:r>
      <w:r>
        <w:rPr>
          <w:rFonts w:ascii="Calibri" w:hAnsi="Calibri"/>
          <w:b w:val="0"/>
          <w:i w:val="0"/>
          <w:color w:val="1B2430"/>
          <w:sz w:val="20"/>
        </w:rPr>
        <w:t xml:space="preserve"> Member-managed, with each active principal holding equal authority. Every owner is active and the group is small enough that shared authority is workable in this synthetic evaluation.</w:t>
      </w:r>
    </w:p>
    <w:p>
      <w:pPr>
        <w:pStyle w:val="ListBullet"/>
        <w:spacing w:after="80"/>
      </w:pPr>
      <w:r>
        <w:rPr>
          <w:rFonts w:ascii="Calibri" w:hAnsi="Calibri"/>
          <w:b/>
          <w:i w:val="0"/>
          <w:color w:val="1B2430"/>
          <w:sz w:val="20"/>
        </w:rPr>
        <w:t>Titles.</w:t>
      </w:r>
      <w:r>
        <w:rPr>
          <w:rFonts w:ascii="Calibri" w:hAnsi="Calibri"/>
          <w:b w:val="0"/>
          <w:i w:val="0"/>
          <w:color w:val="1B2430"/>
          <w:sz w:val="20"/>
        </w:rPr>
        <w:t xml:space="preserve"> State in the agreement that titles do not confer authority, voting power, or ownership beyond what the agreement grants. Titles get handed out casually and then get relied on. Saying so once in the document closes the argument that a title carried a right the cap table never gave.</w:t>
      </w:r>
    </w:p>
    <w:p>
      <w:pPr>
        <w:pStyle w:val="ListBullet"/>
        <w:spacing w:after="80"/>
      </w:pPr>
      <w:r>
        <w:rPr>
          <w:rFonts w:ascii="Calibri" w:hAnsi="Calibri"/>
          <w:b/>
          <w:i w:val="0"/>
          <w:color w:val="1B2430"/>
          <w:sz w:val="20"/>
        </w:rPr>
        <w:t>Ordinary-course authority.</w:t>
      </w:r>
      <w:r>
        <w:rPr>
          <w:rFonts w:ascii="Calibri" w:hAnsi="Calibri"/>
          <w:b w:val="0"/>
          <w:i w:val="0"/>
          <w:color w:val="1B2430"/>
          <w:sz w:val="20"/>
        </w:rPr>
        <w:t xml:space="preserve"> Either principal may act alone up to $60,000; above it, the reserved-matter rule applies. This one number is the hinge of the whole design. Below it the business can move without a meeting; above it nobody can commit the others to something they never saw. </w:t>
      </w:r>
      <w:r>
        <w:rPr>
          <w:rFonts w:ascii="Calibri" w:hAnsi="Calibri"/>
          <w:b w:val="0"/>
          <w:i/>
          <w:color w:val="1B2430"/>
          <w:sz w:val="20"/>
        </w:rPr>
        <w:t>Confirm: Test the number against a normal month of spending before adopting it — too low and every invoice becomes a negotiation.</w:t>
      </w:r>
    </w:p>
    <w:p>
      <w:pPr>
        <w:pStyle w:val="ListBullet"/>
        <w:spacing w:after="80"/>
      </w:pPr>
      <w:r>
        <w:rPr>
          <w:rFonts w:ascii="Calibri" w:hAnsi="Calibri"/>
          <w:b/>
          <w:i w:val="0"/>
          <w:color w:val="1B2430"/>
          <w:sz w:val="20"/>
        </w:rPr>
        <w:t>Reserved matters.</w:t>
      </w:r>
      <w:r>
        <w:rPr>
          <w:rFonts w:ascii="Calibri" w:hAnsi="Calibri"/>
          <w:b w:val="0"/>
          <w:i w:val="0"/>
          <w:color w:val="1B2430"/>
          <w:sz w:val="20"/>
        </w:rPr>
        <w:t xml:space="preserve"> 13 enumerated reserved matters. Reserved matters require the unanimous written consent of both members, which either may withhold in its sole discretion. Control is not the percentage on the cap table, it is the list of things that cannot happen without you. The list is where the real negotiation is.</w:t>
      </w:r>
    </w:p>
    <w:p>
      <w:pPr>
        <w:pStyle w:val="ListBullet"/>
        <w:spacing w:after="80"/>
      </w:pPr>
      <w:r>
        <w:rPr>
          <w:rFonts w:ascii="Calibri" w:hAnsi="Calibri"/>
          <w:b/>
          <w:i w:val="0"/>
          <w:color w:val="1B2430"/>
          <w:sz w:val="20"/>
        </w:rPr>
        <w:t>Deadlock.</w:t>
      </w:r>
      <w:r>
        <w:rPr>
          <w:rFonts w:ascii="Calibri" w:hAnsi="Calibri"/>
          <w:b w:val="0"/>
          <w:i w:val="0"/>
          <w:color w:val="1B2430"/>
          <w:sz w:val="20"/>
        </w:rPr>
        <w:t xml:space="preserve"> A four-step ladder: waiting period, meeting, non-binding mediation, then buy-sell — the last step available only where the deadlock materially impairs ordinary-course operation. Without a ladder, a disagreement between equals ends in judicial dissolution, where a court winds up a working business. The impairment qualifier is what stops the buy-sell becoming a hair trigger someone can pull over a decision they simply lost.</w:t>
      </w:r>
    </w:p>
    <w:p>
      <w:pPr>
        <w:pStyle w:val="ListBullet"/>
        <w:spacing w:after="80"/>
      </w:pPr>
      <w:r>
        <w:rPr>
          <w:rFonts w:ascii="Calibri" w:hAnsi="Calibri"/>
          <w:b/>
          <w:i w:val="0"/>
          <w:color w:val="1B2430"/>
          <w:sz w:val="20"/>
        </w:rPr>
        <w:t>Buy-sell.</w:t>
      </w:r>
      <w:r>
        <w:rPr>
          <w:rFonts w:ascii="Calibri" w:hAnsi="Calibri"/>
          <w:b w:val="0"/>
          <w:i w:val="0"/>
          <w:color w:val="1B2430"/>
          <w:sz w:val="20"/>
        </w:rPr>
        <w:t xml:space="preserve"> A shotgun: one party names a single price per one percent (1%) of interest, the other elects to buy or sell at it within thirty (30) days, and failure to elect is deemed an election to sell. It prices the interest honestly, because whoever names the number does not know which side of the trade they will end up on.</w:t>
      </w:r>
    </w:p>
    <w:p>
      <w:pPr>
        <w:pStyle w:val="ListBullet"/>
        <w:spacing w:after="80"/>
      </w:pPr>
      <w:r>
        <w:rPr>
          <w:rFonts w:ascii="Calibri" w:hAnsi="Calibri"/>
          <w:b/>
          <w:i w:val="0"/>
          <w:color w:val="1B2430"/>
          <w:sz w:val="20"/>
        </w:rPr>
        <w:t>Capital calls.</w:t>
      </w:r>
      <w:r>
        <w:rPr>
          <w:rFonts w:ascii="Calibri" w:hAnsi="Calibri"/>
          <w:b w:val="0"/>
          <w:i w:val="0"/>
          <w:color w:val="1B2430"/>
          <w:sz w:val="20"/>
        </w:rPr>
        <w:t xml:space="preserve"> No additional contribution, member loan, or dilution occurs until the amount, purpose, allocation, and consequences are approved in writing. The synthetic engine must not invent a capital-call remedy or change ownership economics before the parties and qualified counsel approve it. </w:t>
      </w:r>
      <w:r>
        <w:rPr>
          <w:rFonts w:ascii="Calibri" w:hAnsi="Calibri"/>
          <w:b w:val="0"/>
          <w:i/>
          <w:color w:val="1B2430"/>
          <w:sz w:val="20"/>
        </w:rPr>
        <w:t>Confirm: Qualified counsel drafts any loan, dilution, cure, and enforcement mechanics.</w:t>
      </w:r>
    </w:p>
    <w:p>
      <w:pPr>
        <w:pStyle w:val="ListBullet"/>
        <w:spacing w:after="80"/>
      </w:pPr>
      <w:r>
        <w:rPr>
          <w:rFonts w:ascii="Calibri" w:hAnsi="Calibri"/>
          <w:b/>
          <w:i w:val="0"/>
          <w:color w:val="1B2430"/>
          <w:sz w:val="20"/>
        </w:rPr>
        <w:t>Transfer restrictions.</w:t>
      </w:r>
      <w:r>
        <w:rPr>
          <w:rFonts w:ascii="Calibri" w:hAnsi="Calibri"/>
          <w:b w:val="0"/>
          <w:i w:val="0"/>
          <w:color w:val="1B2430"/>
          <w:sz w:val="20"/>
        </w:rPr>
        <w:t xml:space="preserve"> Proposed transfer restrictions and a right of first refusal, with exact conditions left for qualified counsel. Transfers to a revocable estate-planning trust are permitted without triggering the ROFR, provided the member keeps sole voting control for life and the trustee joins the agreement. Closely held equity is only worth what it is because of who holds it. The restriction is what stops a stranger — a creditor, an ex-spouse, a buyer you did not choose — turning up as your partner.</w:t>
      </w:r>
    </w:p>
    <w:p>
      <w:pPr>
        <w:pStyle w:val="ListBullet"/>
        <w:spacing w:after="80"/>
      </w:pPr>
      <w:r>
        <w:rPr>
          <w:rFonts w:ascii="Calibri" w:hAnsi="Calibri"/>
          <w:b/>
          <w:i w:val="0"/>
          <w:color w:val="1B2430"/>
          <w:sz w:val="20"/>
        </w:rPr>
        <w:t>Triggering events.</w:t>
      </w:r>
      <w:r>
        <w:rPr>
          <w:rFonts w:ascii="Calibri" w:hAnsi="Calibri"/>
          <w:b w:val="0"/>
          <w:i w:val="0"/>
          <w:color w:val="1B2430"/>
          <w:sz w:val="20"/>
        </w:rPr>
        <w:t xml:space="preserve"> 7 events give the other side the right to buy the affected interest. Every one of these is a moment where an owner stops being the person you went into business with. The right to buy is what converts that from a crisis into a transaction.</w:t>
      </w:r>
    </w:p>
    <w:p>
      <w:pPr>
        <w:pStyle w:val="ListBullet"/>
        <w:spacing w:after="80"/>
      </w:pPr>
      <w:r>
        <w:rPr>
          <w:rFonts w:ascii="Calibri" w:hAnsi="Calibri"/>
          <w:b/>
          <w:i w:val="0"/>
          <w:color w:val="1B2430"/>
          <w:sz w:val="20"/>
        </w:rPr>
        <w:t>Valuation.</w:t>
      </w:r>
      <w:r>
        <w:rPr>
          <w:rFonts w:ascii="Calibri" w:hAnsi="Calibri"/>
          <w:b w:val="0"/>
          <w:i w:val="0"/>
          <w:color w:val="1B2430"/>
          <w:sz w:val="20"/>
        </w:rPr>
        <w:t xml:space="preserve"> Agree within twenty (20) days; failing that each side appoints an appraiser, and if the two are within fifteen percent (15%) the value is their average, otherwise the two appoint a third whose determination binds. Each pays its own appraiser; the third is shared. A buy-out needs an approved valuation process. This synthetic three-appraiser example is a discussion starting point, not an adopted term.</w:t>
      </w:r>
    </w:p>
    <w:p>
      <w:pPr>
        <w:pStyle w:val="ListBullet"/>
        <w:spacing w:after="80"/>
      </w:pPr>
      <w:r>
        <w:rPr>
          <w:rFonts w:ascii="Calibri" w:hAnsi="Calibri"/>
          <w:b/>
          <w:i w:val="0"/>
          <w:color w:val="1B2430"/>
          <w:sz w:val="20"/>
        </w:rPr>
        <w:t>Payment terms.</w:t>
      </w:r>
      <w:r>
        <w:rPr>
          <w:rFonts w:ascii="Calibri" w:hAnsi="Calibri"/>
          <w:b w:val="0"/>
          <w:i w:val="0"/>
          <w:color w:val="1B2430"/>
          <w:sz w:val="20"/>
        </w:rPr>
        <w:t xml:space="preserve"> Twenty-five percent (25%) cash at closing and seventy-five percent (75%) by note at an approved lawful rate over twenty-four (24) months, secured by a pledge of the interest acquired, prepayable without penalty. A buy-out the buyer cannot fund is not a remedy. The fictional down payment and secured-note example keeps the right exercisable by a working business rather than only by whoever has cash on hand.</w:t>
      </w:r>
    </w:p>
    <w:p>
      <w:pPr>
        <w:pStyle w:val="ListBullet"/>
        <w:spacing w:after="80"/>
      </w:pPr>
      <w:r>
        <w:rPr>
          <w:rFonts w:ascii="Calibri" w:hAnsi="Calibri"/>
          <w:b/>
          <w:i w:val="0"/>
          <w:color w:val="1B2430"/>
          <w:sz w:val="20"/>
        </w:rPr>
        <w:t>Key-person funding.</w:t>
      </w:r>
      <w:r>
        <w:rPr>
          <w:rFonts w:ascii="Calibri" w:hAnsi="Calibri"/>
          <w:b w:val="0"/>
          <w:i w:val="0"/>
          <w:color w:val="1B2430"/>
          <w:sz w:val="20"/>
        </w:rPr>
        <w:t xml:space="preserve"> Consider funding the death and disability purchase with insurance owned by the company or cross-owned by the members. The obligation to buy a deceased partner's interest arrives at the worst possible moment for cash. Insurance is what makes the promise real. </w:t>
      </w:r>
      <w:r>
        <w:rPr>
          <w:rFonts w:ascii="Calibri" w:hAnsi="Calibri"/>
          <w:b w:val="0"/>
          <w:i/>
          <w:color w:val="1B2430"/>
          <w:sz w:val="20"/>
        </w:rPr>
        <w:t>Confirm: Who owns the policies, and how the premiums are treated — this changes the tax outcome for the survivor.</w:t>
      </w:r>
    </w:p>
    <w:p>
      <w:pPr>
        <w:pStyle w:val="ListBullet"/>
        <w:spacing w:after="80"/>
      </w:pPr>
      <w:r>
        <w:rPr>
          <w:rFonts w:ascii="Calibri" w:hAnsi="Calibri"/>
          <w:b/>
          <w:i w:val="0"/>
          <w:color w:val="1B2430"/>
          <w:sz w:val="20"/>
        </w:rPr>
        <w:t>Work product.</w:t>
      </w:r>
      <w:r>
        <w:rPr>
          <w:rFonts w:ascii="Calibri" w:hAnsi="Calibri"/>
          <w:b w:val="0"/>
          <w:i w:val="0"/>
          <w:color w:val="1B2430"/>
          <w:sz w:val="20"/>
        </w:rPr>
        <w:t xml:space="preserve"> All frameworks, deal structures, financial models, and governance templates developed in connection with the business are owned by the company, with a present assignment and a further-assurances covenant. In a firm whose asset is how it thinks, the templates are the enterprise value. Without an assignment they leave with whoever wrote them.</w:t>
      </w:r>
    </w:p>
    <w:p>
      <w:pPr>
        <w:pStyle w:val="ListBullet"/>
        <w:spacing w:after="80"/>
      </w:pPr>
      <w:r>
        <w:rPr>
          <w:rFonts w:ascii="Calibri" w:hAnsi="Calibri"/>
          <w:b/>
          <w:i w:val="0"/>
          <w:color w:val="1B2430"/>
          <w:sz w:val="20"/>
        </w:rPr>
        <w:t>Restrictive covenants.</w:t>
      </w:r>
      <w:r>
        <w:rPr>
          <w:rFonts w:ascii="Calibri" w:hAnsi="Calibri"/>
          <w:b w:val="0"/>
          <w:i w:val="0"/>
          <w:color w:val="1B2430"/>
          <w:sz w:val="20"/>
        </w:rPr>
        <w:t xml:space="preserve"> Confidentiality is included; no non-compete or non-solicit is recommended until qualified counsel supplies a jurisdiction-specific position. Post-departure restrictions are highly jurisdiction- and fact-dependent, so an offline synthetic engine cannot safely choose their scope or duration. </w:t>
      </w:r>
      <w:r>
        <w:rPr>
          <w:rFonts w:ascii="Calibri" w:hAnsi="Calibri"/>
          <w:b w:val="0"/>
          <w:i/>
          <w:color w:val="1B2430"/>
          <w:sz w:val="20"/>
        </w:rPr>
        <w:t>Confirm: Qualified counsel confirms whether any restriction is permitted and drafts it.</w:t>
      </w:r>
    </w:p>
    <w:p>
      <w:pPr>
        <w:pStyle w:val="ListBullet"/>
        <w:spacing w:after="80"/>
      </w:pPr>
      <w:r>
        <w:rPr>
          <w:rFonts w:ascii="Calibri" w:hAnsi="Calibri"/>
          <w:b/>
          <w:i w:val="0"/>
          <w:color w:val="1B2430"/>
          <w:sz w:val="20"/>
        </w:rPr>
        <w:t>Tax distributions.</w:t>
      </w:r>
      <w:r>
        <w:rPr>
          <w:rFonts w:ascii="Calibri" w:hAnsi="Calibri"/>
          <w:b w:val="0"/>
          <w:i w:val="0"/>
          <w:color w:val="1B2430"/>
          <w:sz w:val="20"/>
        </w:rPr>
        <w:t xml:space="preserve"> A mandatory distribution sufficient to cover each member's tax on allocated income, by a stated date each year. Pass-through income is taxed to the member whether or not any cash was distributed. Without this, a profitable year can hand an owner a tax bill and no money to pay it.</w:t>
      </w:r>
    </w:p>
    <w:p>
      <w:pPr>
        <w:pStyle w:val="ListBullet"/>
        <w:spacing w:after="80"/>
      </w:pPr>
      <w:r>
        <w:rPr>
          <w:rFonts w:ascii="Calibri" w:hAnsi="Calibri"/>
          <w:b/>
          <w:i w:val="0"/>
          <w:color w:val="1B2430"/>
          <w:sz w:val="20"/>
        </w:rPr>
        <w:t>Dispute resolution.</w:t>
      </w:r>
      <w:r>
        <w:rPr>
          <w:rFonts w:ascii="Calibri" w:hAnsi="Calibri"/>
          <w:b w:val="0"/>
          <w:i w:val="0"/>
          <w:color w:val="1B2430"/>
          <w:sz w:val="20"/>
        </w:rPr>
        <w:t xml:space="preserve"> Select litigation, arbitration, venue, and emergency-relief procedures only after qualified counsel reviews the parties and governing law. Forum and remedy choices affect cost, timing, appeal rights, and enforceability; the synthetic engine does not choose them.</w:t>
      </w:r>
    </w:p>
    <w:p>
      <w:pPr>
        <w:spacing w:before="300" w:after="120"/>
        <w:pBdr>
          <w:bottom w:val="single" w:sz="4" w:space="4" w:color="B8963E"/>
        </w:pBdr>
      </w:pPr>
      <w:r>
        <w:rPr>
          <w:rFonts w:ascii="Georgia" w:hAnsi="Georgia"/>
          <w:b/>
          <w:color w:val="0B1F3A"/>
          <w:sz w:val="24"/>
        </w:rPr>
        <w:t>Exit</w:t>
      </w:r>
    </w:p>
    <w:p>
      <w:pPr>
        <w:spacing w:before="220" w:after="80"/>
      </w:pPr>
      <w:r>
        <w:rPr>
          <w:rFonts w:ascii="Georgia" w:hAnsi="Georgia"/>
          <w:b/>
          <w:color w:val="96792F"/>
          <w:sz w:val="21"/>
        </w:rPr>
        <w:t>Triggering events</w:t>
      </w:r>
    </w:p>
    <w:p>
      <w:pPr>
        <w:spacing w:after="140" w:line="276" w:lineRule="auto"/>
      </w:pPr>
      <w:r>
        <w:rPr>
          <w:rFonts w:ascii="Calibri" w:hAnsi="Calibri"/>
          <w:b w:val="0"/>
          <w:i w:val="0"/>
          <w:color w:val="1B2430"/>
          <w:sz w:val="20"/>
        </w:rPr>
        <w:t>1. Death</w:t>
      </w:r>
    </w:p>
    <w:p>
      <w:pPr>
        <w:spacing w:after="140" w:line="276" w:lineRule="auto"/>
      </w:pPr>
      <w:r>
        <w:rPr>
          <w:rFonts w:ascii="Calibri" w:hAnsi="Calibri"/>
          <w:b w:val="0"/>
          <w:i w:val="0"/>
          <w:color w:val="1B2430"/>
          <w:sz w:val="20"/>
        </w:rPr>
        <w:t>2. Disability — unable to perform for ninety (90) consecutive days, or one hundred twenty (120) days in any trailing one hundred eighty (180)</w:t>
      </w:r>
    </w:p>
    <w:p>
      <w:pPr>
        <w:spacing w:after="140" w:line="276" w:lineRule="auto"/>
      </w:pPr>
      <w:r>
        <w:rPr>
          <w:rFonts w:ascii="Calibri" w:hAnsi="Calibri"/>
          <w:b w:val="0"/>
          <w:i w:val="0"/>
          <w:color w:val="1B2430"/>
          <w:sz w:val="20"/>
        </w:rPr>
        <w:t>3. Bankruptcy, or an assignment for the benefit of creditors</w:t>
      </w:r>
    </w:p>
    <w:p>
      <w:pPr>
        <w:spacing w:after="140" w:line="276" w:lineRule="auto"/>
      </w:pPr>
      <w:r>
        <w:rPr>
          <w:rFonts w:ascii="Calibri" w:hAnsi="Calibri"/>
          <w:b w:val="0"/>
          <w:i w:val="0"/>
          <w:color w:val="1B2430"/>
          <w:sz w:val="20"/>
        </w:rPr>
        <w:t>4. Divorce or dissolution of marriage that would transfer any part of the interest to a spouse or former spouse, absent a premarital or postmarital waiver</w:t>
      </w:r>
    </w:p>
    <w:p>
      <w:pPr>
        <w:spacing w:after="140" w:line="276" w:lineRule="auto"/>
      </w:pPr>
      <w:r>
        <w:rPr>
          <w:rFonts w:ascii="Calibri" w:hAnsi="Calibri"/>
          <w:b w:val="0"/>
          <w:i w:val="0"/>
          <w:color w:val="1B2430"/>
          <w:sz w:val="20"/>
        </w:rPr>
        <w:t>5. Voluntary withdrawal or resignation from active involvement</w:t>
      </w:r>
    </w:p>
    <w:p>
      <w:pPr>
        <w:spacing w:after="140" w:line="276" w:lineRule="auto"/>
      </w:pPr>
      <w:r>
        <w:rPr>
          <w:rFonts w:ascii="Calibri" w:hAnsi="Calibri"/>
          <w:b w:val="0"/>
          <w:i w:val="0"/>
          <w:color w:val="1B2430"/>
          <w:sz w:val="20"/>
        </w:rPr>
        <w:t>6. Material breach uncured for thirty (30) days after written notice</w:t>
      </w:r>
    </w:p>
    <w:p>
      <w:pPr>
        <w:spacing w:after="140" w:line="276" w:lineRule="auto"/>
      </w:pPr>
      <w:r>
        <w:rPr>
          <w:rFonts w:ascii="Calibri" w:hAnsi="Calibri"/>
          <w:b w:val="0"/>
          <w:i w:val="0"/>
          <w:color w:val="1B2430"/>
          <w:sz w:val="20"/>
        </w:rPr>
        <w:t>7. Conviction of, or a plea to, a felony or a crime of fraud, dishonesty, or moral turpitude that materially and adversely affects the company</w:t>
      </w:r>
    </w:p>
    <w:p>
      <w:pPr>
        <w:spacing w:before="300" w:after="120"/>
        <w:pBdr>
          <w:bottom w:val="single" w:sz="4" w:space="4" w:color="B8963E"/>
        </w:pBdr>
      </w:pPr>
      <w:r>
        <w:rPr>
          <w:rFonts w:ascii="Georgia" w:hAnsi="Georgia"/>
          <w:b/>
          <w:color w:val="0B1F3A"/>
          <w:sz w:val="24"/>
        </w:rPr>
        <w:t>Capital architecture</w:t>
      </w:r>
    </w:p>
    <w:p>
      <w:pPr>
        <w:spacing w:after="140" w:line="276" w:lineRule="auto"/>
      </w:pPr>
      <w:r>
        <w:rPr>
          <w:rFonts w:ascii="Calibri" w:hAnsi="Calibri"/>
          <w:b w:val="0"/>
          <w:i w:val="0"/>
          <w:color w:val="1B2430"/>
          <w:sz w:val="20"/>
        </w:rPr>
        <w:t>Straight pro rata economics with no outside capital. A waterfall here would be machinery with nothing to do — distributions follow percentage interests, and the tax distribution is the only mandatory step.</w:t>
      </w:r>
    </w:p>
    <w:p>
      <w:pPr>
        <w:spacing w:before="300" w:after="120"/>
        <w:pBdr>
          <w:bottom w:val="single" w:sz="4" w:space="4" w:color="B8963E"/>
        </w:pBdr>
      </w:pPr>
      <w:r>
        <w:rPr>
          <w:rFonts w:ascii="Georgia" w:hAnsi="Georgia"/>
          <w:b/>
          <w:color w:val="0B1F3A"/>
          <w:sz w:val="24"/>
        </w:rPr>
        <w:t>What this structure is built against</w:t>
      </w:r>
    </w:p>
    <w:p>
      <w:pPr>
        <w:spacing w:after="140" w:line="276" w:lineRule="auto"/>
      </w:pPr>
      <w:r>
        <w:rPr>
          <w:rFonts w:ascii="Calibri" w:hAnsi="Calibri"/>
          <w:b/>
          <w:i w:val="0"/>
          <w:color w:val="1B2430"/>
          <w:sz w:val="20"/>
        </w:rPr>
        <w:t>Two people, no tiebreak.</w:t>
      </w:r>
      <w:r>
        <w:rPr>
          <w:rFonts w:ascii="Calibri" w:hAnsi="Calibri"/>
          <w:b w:val="0"/>
          <w:i w:val="0"/>
          <w:color w:val="1B2430"/>
          <w:sz w:val="20"/>
        </w:rPr>
        <w:t xml:space="preserve"> Equal owners disagree on something that has to be decided, neither can carry it, and the only remaining forum is a petition for judicial dissolution — a court winding up a business that works.</w:t>
      </w:r>
    </w:p>
    <w:p>
      <w:pPr>
        <w:spacing w:after="140" w:line="276" w:lineRule="auto"/>
      </w:pPr>
      <w:r>
        <w:rPr>
          <w:rFonts w:ascii="Calibri" w:hAnsi="Calibri"/>
          <w:b w:val="0"/>
          <w:i/>
          <w:color w:val="1B2430"/>
          <w:sz w:val="20"/>
        </w:rPr>
        <w:t>Addressed by: Deadlock, Buy-sell.</w:t>
      </w:r>
    </w:p>
    <w:p>
      <w:pPr>
        <w:spacing w:after="140" w:line="276" w:lineRule="auto"/>
      </w:pPr>
      <w:r>
        <w:rPr>
          <w:rFonts w:ascii="Calibri" w:hAnsi="Calibri"/>
          <w:b/>
          <w:i w:val="0"/>
          <w:color w:val="1B2430"/>
          <w:sz w:val="20"/>
        </w:rPr>
        <w:t>The operating claim reaches the building.</w:t>
      </w:r>
      <w:r>
        <w:rPr>
          <w:rFonts w:ascii="Calibri" w:hAnsi="Calibri"/>
          <w:b w:val="0"/>
          <w:i w:val="0"/>
          <w:color w:val="1B2430"/>
          <w:sz w:val="20"/>
        </w:rPr>
        <w:t xml:space="preserve"> A slip-and-fall, an employment claim, or a vehicle accident in the operating business becomes a judgment against the entity that also holds the real estate, and the asset is sold to satisfy it.</w:t>
      </w:r>
    </w:p>
    <w:p>
      <w:pPr>
        <w:spacing w:after="140" w:line="276" w:lineRule="auto"/>
      </w:pPr>
      <w:r>
        <w:rPr>
          <w:rFonts w:ascii="Calibri" w:hAnsi="Calibri"/>
          <w:b w:val="0"/>
          <w:i/>
          <w:color w:val="1B2430"/>
          <w:sz w:val="20"/>
        </w:rPr>
        <w:t>Addressed by: Entity topology.</w:t>
      </w:r>
    </w:p>
    <w:p>
      <w:pPr>
        <w:spacing w:after="140" w:line="276" w:lineRule="auto"/>
      </w:pPr>
      <w:r>
        <w:rPr>
          <w:rFonts w:ascii="Calibri" w:hAnsi="Calibri"/>
          <w:b/>
          <w:i w:val="0"/>
          <w:color w:val="1B2430"/>
          <w:sz w:val="20"/>
        </w:rPr>
        <w:t>The departing owner keeps the vote.</w:t>
      </w:r>
      <w:r>
        <w:rPr>
          <w:rFonts w:ascii="Calibri" w:hAnsi="Calibri"/>
          <w:b w:val="0"/>
          <w:i w:val="0"/>
          <w:color w:val="1B2430"/>
          <w:sz w:val="20"/>
        </w:rPr>
        <w:t xml:space="preserve"> Someone stops working, stops contributing, and keeps every consent right they had on day one — including the veto over the deal that would have bought them out.</w:t>
      </w:r>
    </w:p>
    <w:p>
      <w:pPr>
        <w:spacing w:after="140" w:line="276" w:lineRule="auto"/>
      </w:pPr>
      <w:r>
        <w:rPr>
          <w:rFonts w:ascii="Calibri" w:hAnsi="Calibri"/>
          <w:b w:val="0"/>
          <w:i/>
          <w:color w:val="1B2430"/>
          <w:sz w:val="20"/>
        </w:rPr>
        <w:t>Addressed by: Triggering events, Withdrawal from management.</w:t>
      </w:r>
    </w:p>
    <w:p>
      <w:pPr>
        <w:spacing w:after="140" w:line="276" w:lineRule="auto"/>
      </w:pPr>
      <w:r>
        <w:rPr>
          <w:rFonts w:ascii="Calibri" w:hAnsi="Calibri"/>
          <w:b/>
          <w:i w:val="0"/>
          <w:color w:val="1B2430"/>
          <w:sz w:val="20"/>
        </w:rPr>
        <w:t>Your partner's heir is your new partner.</w:t>
      </w:r>
      <w:r>
        <w:rPr>
          <w:rFonts w:ascii="Calibri" w:hAnsi="Calibri"/>
          <w:b w:val="0"/>
          <w:i w:val="0"/>
          <w:color w:val="1B2430"/>
          <w:sz w:val="20"/>
        </w:rPr>
        <w:t xml:space="preserve"> An owner dies or divorces and the interest passes to a spouse, an estate, or an ex — someone with no operating role, full economic rights, and no reason to agree with you.</w:t>
      </w:r>
    </w:p>
    <w:p>
      <w:pPr>
        <w:spacing w:after="140" w:line="276" w:lineRule="auto"/>
      </w:pPr>
      <w:r>
        <w:rPr>
          <w:rFonts w:ascii="Calibri" w:hAnsi="Calibri"/>
          <w:b w:val="0"/>
          <w:i/>
          <w:color w:val="1B2430"/>
          <w:sz w:val="20"/>
        </w:rPr>
        <w:t>Addressed by: Transfer restrictions, Triggering events, Key-person funding.</w:t>
      </w:r>
    </w:p>
    <w:p>
      <w:pPr>
        <w:spacing w:after="140" w:line="276" w:lineRule="auto"/>
      </w:pPr>
      <w:r>
        <w:rPr>
          <w:rFonts w:ascii="Calibri" w:hAnsi="Calibri"/>
          <w:b/>
          <w:i w:val="0"/>
          <w:color w:val="1B2430"/>
          <w:sz w:val="20"/>
        </w:rPr>
        <w:t>Dilution by refusal to fund.</w:t>
      </w:r>
      <w:r>
        <w:rPr>
          <w:rFonts w:ascii="Calibri" w:hAnsi="Calibri"/>
          <w:b w:val="0"/>
          <w:i w:val="0"/>
          <w:color w:val="1B2430"/>
          <w:sz w:val="20"/>
        </w:rPr>
        <w:t xml:space="preserve"> The business needs money, one owner will not or cannot put it in, and there is no mechanism — so the one who funds it either carries the other for free or the business does not get funded.</w:t>
      </w:r>
    </w:p>
    <w:p>
      <w:pPr>
        <w:spacing w:after="140" w:line="276" w:lineRule="auto"/>
      </w:pPr>
      <w:r>
        <w:rPr>
          <w:rFonts w:ascii="Calibri" w:hAnsi="Calibri"/>
          <w:b w:val="0"/>
          <w:i/>
          <w:color w:val="1B2430"/>
          <w:sz w:val="20"/>
        </w:rPr>
        <w:t>Addressed by: Capital calls.</w:t>
      </w:r>
    </w:p>
    <w:p>
      <w:pPr>
        <w:spacing w:after="140" w:line="276" w:lineRule="auto"/>
      </w:pPr>
      <w:r>
        <w:rPr>
          <w:rFonts w:ascii="Calibri" w:hAnsi="Calibri"/>
          <w:b/>
          <w:i w:val="0"/>
          <w:color w:val="1B2430"/>
          <w:sz w:val="20"/>
        </w:rPr>
        <w:t>Phantom income.</w:t>
      </w:r>
      <w:r>
        <w:rPr>
          <w:rFonts w:ascii="Calibri" w:hAnsi="Calibri"/>
          <w:b w:val="0"/>
          <w:i w:val="0"/>
          <w:color w:val="1B2430"/>
          <w:sz w:val="20"/>
        </w:rPr>
        <w:t xml:space="preserve"> A profitable year allocates taxable income to every owner, the cash stays in the business, and the owners owe tax on money they never received.</w:t>
      </w:r>
    </w:p>
    <w:p>
      <w:pPr>
        <w:spacing w:after="140" w:line="276" w:lineRule="auto"/>
      </w:pPr>
      <w:r>
        <w:rPr>
          <w:rFonts w:ascii="Calibri" w:hAnsi="Calibri"/>
          <w:b w:val="0"/>
          <w:i/>
          <w:color w:val="1B2430"/>
          <w:sz w:val="20"/>
        </w:rPr>
        <w:t>Addressed by: Tax distributions.</w:t>
      </w:r>
    </w:p>
    <w:p>
      <w:pPr>
        <w:spacing w:after="140" w:line="276" w:lineRule="auto"/>
      </w:pPr>
      <w:r>
        <w:rPr>
          <w:rFonts w:ascii="Calibri" w:hAnsi="Calibri"/>
          <w:b/>
          <w:i w:val="0"/>
          <w:color w:val="1B2430"/>
          <w:sz w:val="20"/>
        </w:rPr>
        <w:t>A right nobody can afford to exercise.</w:t>
      </w:r>
      <w:r>
        <w:rPr>
          <w:rFonts w:ascii="Calibri" w:hAnsi="Calibri"/>
          <w:b w:val="0"/>
          <w:i w:val="0"/>
          <w:color w:val="1B2430"/>
          <w:sz w:val="20"/>
        </w:rPr>
        <w:t xml:space="preserve"> The buy-out right on death exists on paper, the survivor cannot fund it, and the estate stays in the cap table by default.</w:t>
      </w:r>
    </w:p>
    <w:p>
      <w:pPr>
        <w:spacing w:after="140" w:line="276" w:lineRule="auto"/>
      </w:pPr>
      <w:r>
        <w:rPr>
          <w:rFonts w:ascii="Calibri" w:hAnsi="Calibri"/>
          <w:b w:val="0"/>
          <w:i/>
          <w:color w:val="1B2430"/>
          <w:sz w:val="20"/>
        </w:rPr>
        <w:t>Addressed by: Key-person funding, Payment terms.</w:t>
      </w:r>
    </w:p>
    <w:p>
      <w:pPr>
        <w:spacing w:before="300" w:after="120"/>
        <w:pBdr>
          <w:bottom w:val="single" w:sz="4" w:space="4" w:color="B8963E"/>
        </w:pBdr>
      </w:pPr>
      <w:r>
        <w:rPr>
          <w:rFonts w:ascii="Georgia" w:hAnsi="Georgia"/>
          <w:b/>
          <w:color w:val="0B1F3A"/>
          <w:sz w:val="24"/>
        </w:rPr>
        <w:t>Open questions</w:t>
      </w:r>
    </w:p>
    <w:p>
      <w:pPr>
        <w:spacing w:after="140" w:line="276" w:lineRule="auto"/>
      </w:pPr>
      <w:r>
        <w:rPr>
          <w:rFonts w:ascii="Calibri" w:hAnsi="Calibri"/>
          <w:b/>
          <w:i w:val="0"/>
          <w:color w:val="1B2430"/>
          <w:sz w:val="20"/>
        </w:rPr>
        <w:t>What are the actual capital contributions, in dollars, and are they equal?</w:t>
      </w:r>
      <w:r>
        <w:rPr>
          <w:rFonts w:ascii="Calibri" w:hAnsi="Calibri"/>
          <w:b w:val="0"/>
          <w:i w:val="0"/>
          <w:color w:val="1B2430"/>
          <w:sz w:val="20"/>
        </w:rPr>
        <w:t xml:space="preserve"> Percentage interests, capital accounts, the dilution formula, and every distribution follow from these numbers.</w:t>
      </w:r>
    </w:p>
    <w:p>
      <w:pPr>
        <w:spacing w:after="140" w:line="276" w:lineRule="auto"/>
      </w:pPr>
      <w:r>
        <w:rPr>
          <w:rFonts w:ascii="Calibri" w:hAnsi="Calibri"/>
          <w:b w:val="0"/>
          <w:i/>
          <w:color w:val="1B2430"/>
          <w:sz w:val="20"/>
        </w:rPr>
        <w:t>Blocks: Schedule A, and any operating agreement that references it.</w:t>
      </w:r>
    </w:p>
    <w:p>
      <w:pPr>
        <w:spacing w:after="140" w:line="276" w:lineRule="auto"/>
      </w:pPr>
      <w:r>
        <w:rPr>
          <w:rFonts w:ascii="Calibri" w:hAnsi="Calibri"/>
          <w:b/>
          <w:i w:val="0"/>
          <w:color w:val="1B2430"/>
          <w:sz w:val="20"/>
        </w:rPr>
        <w:t>Is anyone contributing services or property rather than cash, and at what agreed value?</w:t>
      </w:r>
      <w:r>
        <w:rPr>
          <w:rFonts w:ascii="Calibri" w:hAnsi="Calibri"/>
          <w:b w:val="0"/>
          <w:i w:val="0"/>
          <w:color w:val="1B2430"/>
          <w:sz w:val="20"/>
        </w:rPr>
        <w:t xml:space="preserve"> A services contribution is taxable to the contributor on receipt unless it is structured as a profits interest.</w:t>
      </w:r>
    </w:p>
    <w:p>
      <w:pPr>
        <w:spacing w:after="140" w:line="276" w:lineRule="auto"/>
      </w:pPr>
      <w:r>
        <w:rPr>
          <w:rFonts w:ascii="Calibri" w:hAnsi="Calibri"/>
          <w:b w:val="0"/>
          <w:i/>
          <w:color w:val="1B2430"/>
          <w:sz w:val="20"/>
        </w:rPr>
        <w:t>Blocks: Capital accounts and the tax section.</w:t>
      </w:r>
    </w:p>
    <w:p>
      <w:pPr>
        <w:spacing w:after="140" w:line="276" w:lineRule="auto"/>
      </w:pPr>
      <w:r>
        <w:rPr>
          <w:rFonts w:ascii="Calibri" w:hAnsi="Calibri"/>
          <w:b/>
          <w:i w:val="0"/>
          <w:color w:val="1B2430"/>
          <w:sz w:val="20"/>
        </w:rPr>
        <w:t>Who is the registered agent, and what is the principal office?</w:t>
      </w:r>
      <w:r>
        <w:rPr>
          <w:rFonts w:ascii="Calibri" w:hAnsi="Calibri"/>
          <w:b w:val="0"/>
          <w:i w:val="0"/>
          <w:color w:val="1B2430"/>
          <w:sz w:val="20"/>
        </w:rPr>
        <w:t xml:space="preserve"> Both go in the formation filing and the notice provision.</w:t>
      </w:r>
    </w:p>
    <w:p>
      <w:pPr>
        <w:spacing w:after="140" w:line="276" w:lineRule="auto"/>
      </w:pPr>
      <w:r>
        <w:rPr>
          <w:rFonts w:ascii="Calibri" w:hAnsi="Calibri"/>
          <w:b w:val="0"/>
          <w:i/>
          <w:color w:val="1B2430"/>
          <w:sz w:val="20"/>
        </w:rPr>
        <w:t>Blocks: Formation, and the notices clause.</w:t>
      </w:r>
    </w:p>
    <w:p>
      <w:pPr>
        <w:spacing w:after="140" w:line="276" w:lineRule="auto"/>
      </w:pPr>
      <w:r>
        <w:rPr>
          <w:rFonts w:ascii="Calibri" w:hAnsi="Calibri"/>
          <w:b/>
          <w:i w:val="0"/>
          <w:color w:val="1B2430"/>
          <w:sz w:val="20"/>
        </w:rPr>
        <w:t>Are the operators taking a salary, a guaranteed payment, or only distributions?</w:t>
      </w:r>
      <w:r>
        <w:rPr>
          <w:rFonts w:ascii="Calibri" w:hAnsi="Calibri"/>
          <w:b w:val="0"/>
          <w:i w:val="0"/>
          <w:color w:val="1B2430"/>
          <w:sz w:val="20"/>
        </w:rPr>
        <w:t xml:space="preserve"> It changes self-employment tax, the value of an S election, and whether a non-working owner is being paid twice.</w:t>
      </w:r>
    </w:p>
    <w:p>
      <w:pPr>
        <w:spacing w:after="140" w:line="276" w:lineRule="auto"/>
      </w:pPr>
      <w:r>
        <w:rPr>
          <w:rFonts w:ascii="Calibri" w:hAnsi="Calibri"/>
          <w:b w:val="0"/>
          <w:i/>
          <w:color w:val="1B2430"/>
          <w:sz w:val="20"/>
        </w:rPr>
        <w:t>Blocks: The compensation section, and the tax-treatment recommendation.</w:t>
      </w:r>
    </w:p>
    <w:p>
      <w:pPr>
        <w:spacing w:before="300" w:after="120"/>
        <w:pBdr>
          <w:bottom w:val="single" w:sz="4" w:space="4" w:color="B8963E"/>
        </w:pBdr>
      </w:pPr>
      <w:r>
        <w:rPr>
          <w:rFonts w:ascii="Georgia" w:hAnsi="Georgia"/>
          <w:b/>
          <w:color w:val="0B1F3A"/>
          <w:sz w:val="24"/>
        </w:rPr>
        <w:t>Positions not yet adopted</w:t>
      </w:r>
    </w:p>
    <w:p>
      <w:pPr>
        <w:spacing w:after="140" w:line="276" w:lineRule="auto"/>
      </w:pPr>
      <w:r>
        <w:rPr>
          <w:rFonts w:ascii="Calibri" w:hAnsi="Calibri"/>
          <w:b w:val="0"/>
          <w:i w:val="0"/>
          <w:color w:val="1B2430"/>
          <w:sz w:val="20"/>
        </w:rPr>
        <w:t>These are starting points. They are not Tessera standards and no one has reviewed them for this jurisdiction.</w:t>
      </w:r>
    </w:p>
    <w:p>
      <w:pPr>
        <w:pStyle w:val="ListBullet"/>
        <w:spacing w:after="80"/>
      </w:pPr>
      <w:r>
        <w:rPr>
          <w:rFonts w:ascii="Calibri" w:hAnsi="Calibri"/>
          <w:b w:val="0"/>
          <w:i w:val="0"/>
          <w:color w:val="1B2430"/>
          <w:sz w:val="20"/>
        </w:rPr>
        <w:t>Entity form</w:t>
      </w:r>
    </w:p>
    <w:p>
      <w:pPr>
        <w:pStyle w:val="ListBullet"/>
        <w:spacing w:after="80"/>
      </w:pPr>
      <w:r>
        <w:rPr>
          <w:rFonts w:ascii="Calibri" w:hAnsi="Calibri"/>
          <w:b w:val="0"/>
          <w:i w:val="0"/>
          <w:color w:val="1B2430"/>
          <w:sz w:val="20"/>
        </w:rPr>
        <w:t>Tax treatment</w:t>
      </w:r>
    </w:p>
    <w:p>
      <w:pPr>
        <w:pStyle w:val="ListBullet"/>
        <w:spacing w:after="80"/>
      </w:pPr>
      <w:r>
        <w:rPr>
          <w:rFonts w:ascii="Calibri" w:hAnsi="Calibri"/>
          <w:b w:val="0"/>
          <w:i w:val="0"/>
          <w:color w:val="1B2430"/>
          <w:sz w:val="20"/>
        </w:rPr>
        <w:t>Management</w:t>
      </w:r>
    </w:p>
    <w:p>
      <w:pPr>
        <w:pStyle w:val="ListBullet"/>
        <w:spacing w:after="80"/>
      </w:pPr>
      <w:r>
        <w:rPr>
          <w:rFonts w:ascii="Calibri" w:hAnsi="Calibri"/>
          <w:b w:val="0"/>
          <w:i w:val="0"/>
          <w:color w:val="1B2430"/>
          <w:sz w:val="20"/>
        </w:rPr>
        <w:t>Buy-sell</w:t>
      </w:r>
    </w:p>
    <w:p>
      <w:pPr>
        <w:pStyle w:val="ListBullet"/>
        <w:spacing w:after="80"/>
      </w:pPr>
      <w:r>
        <w:rPr>
          <w:rFonts w:ascii="Calibri" w:hAnsi="Calibri"/>
          <w:b w:val="0"/>
          <w:i w:val="0"/>
          <w:color w:val="1B2430"/>
          <w:sz w:val="20"/>
        </w:rPr>
        <w:t>Transfer restrictions</w:t>
      </w:r>
    </w:p>
    <w:p>
      <w:pPr>
        <w:pStyle w:val="ListBullet"/>
        <w:spacing w:after="80"/>
      </w:pPr>
      <w:r>
        <w:rPr>
          <w:rFonts w:ascii="Calibri" w:hAnsi="Calibri"/>
          <w:b w:val="0"/>
          <w:i w:val="0"/>
          <w:color w:val="1B2430"/>
          <w:sz w:val="20"/>
        </w:rPr>
        <w:t>Triggering events</w:t>
      </w:r>
    </w:p>
    <w:p>
      <w:pPr>
        <w:pStyle w:val="ListBullet"/>
        <w:spacing w:after="80"/>
      </w:pPr>
      <w:r>
        <w:rPr>
          <w:rFonts w:ascii="Calibri" w:hAnsi="Calibri"/>
          <w:b w:val="0"/>
          <w:i w:val="0"/>
          <w:color w:val="1B2430"/>
          <w:sz w:val="20"/>
        </w:rPr>
        <w:t>Valuation</w:t>
      </w:r>
    </w:p>
    <w:p>
      <w:pPr>
        <w:pStyle w:val="ListBullet"/>
        <w:spacing w:after="80"/>
      </w:pPr>
      <w:r>
        <w:rPr>
          <w:rFonts w:ascii="Calibri" w:hAnsi="Calibri"/>
          <w:b w:val="0"/>
          <w:i w:val="0"/>
          <w:color w:val="1B2430"/>
          <w:sz w:val="20"/>
        </w:rPr>
        <w:t>Payment terms</w:t>
      </w:r>
    </w:p>
    <w:p>
      <w:pPr>
        <w:pStyle w:val="ListBullet"/>
        <w:spacing w:after="80"/>
      </w:pPr>
      <w:r>
        <w:rPr>
          <w:rFonts w:ascii="Calibri" w:hAnsi="Calibri"/>
          <w:b w:val="0"/>
          <w:i w:val="0"/>
          <w:color w:val="1B2430"/>
          <w:sz w:val="20"/>
        </w:rPr>
        <w:t>Key-person funding</w:t>
      </w:r>
    </w:p>
    <w:p>
      <w:pPr>
        <w:pStyle w:val="ListBullet"/>
        <w:spacing w:after="80"/>
      </w:pPr>
      <w:r>
        <w:rPr>
          <w:rFonts w:ascii="Calibri" w:hAnsi="Calibri"/>
          <w:b w:val="0"/>
          <w:i w:val="0"/>
          <w:color w:val="1B2430"/>
          <w:sz w:val="20"/>
        </w:rPr>
        <w:t>Work product</w:t>
      </w:r>
    </w:p>
    <w:p>
      <w:pPr>
        <w:pStyle w:val="ListBullet"/>
        <w:spacing w:after="80"/>
      </w:pPr>
      <w:r>
        <w:rPr>
          <w:rFonts w:ascii="Calibri" w:hAnsi="Calibri"/>
          <w:b w:val="0"/>
          <w:i w:val="0"/>
          <w:color w:val="1B2430"/>
          <w:sz w:val="20"/>
        </w:rPr>
        <w:t>Restrictive covenants</w:t>
      </w:r>
    </w:p>
    <w:p>
      <w:pPr>
        <w:pStyle w:val="ListBullet"/>
        <w:spacing w:after="80"/>
      </w:pPr>
      <w:r>
        <w:rPr>
          <w:rFonts w:ascii="Calibri" w:hAnsi="Calibri"/>
          <w:b w:val="0"/>
          <w:i w:val="0"/>
          <w:color w:val="1B2430"/>
          <w:sz w:val="20"/>
        </w:rPr>
        <w:t>Tax distributions</w:t>
      </w:r>
    </w:p>
    <w:p>
      <w:pPr>
        <w:pStyle w:val="ListBullet"/>
        <w:spacing w:after="80"/>
      </w:pPr>
      <w:r>
        <w:rPr>
          <w:rFonts w:ascii="Calibri" w:hAnsi="Calibri"/>
          <w:b w:val="0"/>
          <w:i w:val="0"/>
          <w:color w:val="1B2430"/>
          <w:sz w:val="20"/>
        </w:rPr>
        <w:t>Dispute resolution</w:t>
      </w:r>
    </w:p>
    <w:p>
      <w:pPr>
        <w:pStyle w:val="ListBullet"/>
        <w:spacing w:after="80"/>
      </w:pPr>
      <w:r>
        <w:rPr>
          <w:rFonts w:ascii="Calibri" w:hAnsi="Calibri"/>
          <w:b w:val="0"/>
          <w:i w:val="0"/>
          <w:color w:val="1B2430"/>
          <w:sz w:val="20"/>
        </w:rPr>
        <w:t>HoldCo — Northstar Housing (Synthetic) Holdings LLC</w:t>
      </w:r>
    </w:p>
    <w:p>
      <w:pPr>
        <w:pStyle w:val="ListBullet"/>
        <w:spacing w:after="80"/>
      </w:pPr>
      <w:r>
        <w:rPr>
          <w:rFonts w:ascii="Calibri" w:hAnsi="Calibri"/>
          <w:b w:val="0"/>
          <w:i w:val="0"/>
          <w:color w:val="1B2430"/>
          <w:sz w:val="20"/>
        </w:rPr>
        <w:t>OpCo — Northstar Housing (Synthetic) Operations LLC</w:t>
      </w:r>
    </w:p>
    <w:p>
      <w:pPr>
        <w:pStyle w:val="ListBullet"/>
        <w:spacing w:after="80"/>
      </w:pPr>
      <w:r>
        <w:rPr>
          <w:rFonts w:ascii="Calibri" w:hAnsi="Calibri"/>
          <w:b w:val="0"/>
          <w:i w:val="0"/>
          <w:color w:val="1B2430"/>
          <w:sz w:val="20"/>
        </w:rPr>
        <w:t>Property-owning entity — Northstar Housing (Synthetic) PropCo 1 LLC</w:t>
      </w:r>
    </w:p>
    <w:p>
      <w:pPr>
        <w:pStyle w:val="ListBullet"/>
        <w:spacing w:after="80"/>
      </w:pPr>
      <w:r>
        <w:rPr>
          <w:rFonts w:ascii="Calibri" w:hAnsi="Calibri"/>
          <w:b w:val="0"/>
          <w:i w:val="0"/>
          <w:color w:val="1B2430"/>
          <w:sz w:val="20"/>
        </w:rPr>
        <w:t>Property-owning entity — Northstar Housing (Synthetic) PropCo 2 LLC</w:t>
      </w:r>
    </w:p>
    <w:p>
      <w:pPr>
        <w:spacing w:before="300" w:after="120"/>
        <w:pBdr>
          <w:bottom w:val="single" w:sz="4" w:space="4" w:color="B8963E"/>
        </w:pBdr>
      </w:pPr>
      <w:r>
        <w:rPr>
          <w:rFonts w:ascii="Georgia" w:hAnsi="Georgia"/>
          <w:b/>
          <w:color w:val="0B1F3A"/>
          <w:sz w:val="24"/>
        </w:rPr>
        <w:t>The words used here</w:t>
      </w:r>
    </w:p>
    <w:p>
      <w:pPr>
        <w:spacing w:after="140" w:line="276" w:lineRule="auto"/>
      </w:pPr>
      <w:r>
        <w:rPr>
          <w:rFonts w:ascii="Calibri" w:hAnsi="Calibri"/>
          <w:b w:val="0"/>
          <w:i w:val="0"/>
          <w:color w:val="1B2430"/>
          <w:sz w:val="20"/>
        </w:rPr>
        <w:t>You should not need a finance degree to understand what you are paying for. These are the terms this memo uses, in plain English.</w:t>
      </w:r>
    </w:p>
    <w:tbl>
      <w:tblPr>
        <w:tblStyle w:val="TableGrid"/>
        <w:tblW w:type="auto" w:w="0"/>
        <w:jc w:val="center"/>
        <w:tblLayout w:type="fixed"/>
        <w:tblLook w:firstColumn="1" w:firstRow="1" w:lastColumn="0" w:lastRow="0" w:noHBand="0" w:noVBand="1" w:val="04A0"/>
      </w:tblPr>
      <w:tblGrid>
        <w:gridCol w:w="3207"/>
        <w:gridCol w:w="6873"/>
      </w:tblGrid>
      <w:tr>
        <w:tc>
          <w:tcPr>
            <w:tcW w:type="dxa" w:w="3207"/>
            <w:vAlign w:val="center"/>
            <w:shd w:fill="0B1F3A"/>
          </w:tcPr>
          <w:p>
            <w:r>
              <w:rPr>
                <w:rFonts w:ascii="Calibri" w:hAnsi="Calibri"/>
                <w:b/>
                <w:i w:val="0"/>
                <w:color w:val="FFFFFF"/>
                <w:sz w:val="19"/>
              </w:rPr>
              <w:t>Term</w:t>
            </w:r>
          </w:p>
        </w:tc>
        <w:tc>
          <w:tcPr>
            <w:tcW w:type="dxa" w:w="6873"/>
            <w:vAlign w:val="center"/>
            <w:shd w:fill="0B1F3A"/>
          </w:tcPr>
          <w:p>
            <w:r>
              <w:rPr>
                <w:rFonts w:ascii="Calibri" w:hAnsi="Calibri"/>
                <w:b/>
                <w:i w:val="0"/>
                <w:color w:val="FFFFFF"/>
                <w:sz w:val="19"/>
              </w:rPr>
              <w:t>What it means</w:t>
            </w:r>
          </w:p>
        </w:tc>
      </w:tr>
      <w:tr>
        <w:tc>
          <w:tcPr>
            <w:tcW w:type="dxa" w:w="3207"/>
            <w:vAlign w:val="center"/>
          </w:tcPr>
          <w:p>
            <w:r>
              <w:rPr>
                <w:rFonts w:ascii="Calibri" w:hAnsi="Calibri"/>
                <w:b w:val="0"/>
                <w:i w:val="0"/>
                <w:color w:val="1B2430"/>
                <w:sz w:val="19"/>
              </w:rPr>
              <w:t>Equity</w:t>
            </w:r>
          </w:p>
        </w:tc>
        <w:tc>
          <w:tcPr>
            <w:tcW w:type="dxa" w:w="6873"/>
            <w:vAlign w:val="center"/>
          </w:tcPr>
          <w:p>
            <w:r>
              <w:rPr>
                <w:rFonts w:ascii="Calibri" w:hAnsi="Calibri"/>
                <w:b w:val="0"/>
                <w:i w:val="0"/>
                <w:color w:val="1B2430"/>
                <w:sz w:val="19"/>
              </w:rPr>
              <w:t>Ownership in the company. If you own 60% of the equity, you own 60% of the business.</w:t>
            </w:r>
          </w:p>
        </w:tc>
      </w:tr>
      <w:tr>
        <w:tc>
          <w:tcPr>
            <w:tcW w:type="dxa" w:w="3207"/>
            <w:vAlign w:val="center"/>
          </w:tcPr>
          <w:p>
            <w:r>
              <w:rPr>
                <w:rFonts w:ascii="Calibri" w:hAnsi="Calibri"/>
                <w:b w:val="0"/>
                <w:i w:val="0"/>
                <w:color w:val="1B2430"/>
                <w:sz w:val="19"/>
              </w:rPr>
              <w:t>Dilution</w:t>
            </w:r>
          </w:p>
        </w:tc>
        <w:tc>
          <w:tcPr>
            <w:tcW w:type="dxa" w:w="6873"/>
            <w:vAlign w:val="center"/>
          </w:tcPr>
          <w:p>
            <w:r>
              <w:rPr>
                <w:rFonts w:ascii="Calibri" w:hAnsi="Calibri"/>
                <w:b w:val="0"/>
                <w:i w:val="0"/>
                <w:color w:val="1B2430"/>
                <w:sz w:val="19"/>
              </w:rPr>
              <w:t>When your slice of ownership gets smaller because new shares were handed out, usually to bring in investors. The pie grew, but your piece is now a smaller share of it.</w:t>
            </w:r>
          </w:p>
        </w:tc>
      </w:tr>
      <w:tr>
        <w:tc>
          <w:tcPr>
            <w:tcW w:type="dxa" w:w="3207"/>
            <w:vAlign w:val="center"/>
          </w:tcPr>
          <w:p>
            <w:r>
              <w:rPr>
                <w:rFonts w:ascii="Calibri" w:hAnsi="Calibri"/>
                <w:b w:val="0"/>
                <w:i w:val="0"/>
                <w:color w:val="1B2430"/>
                <w:sz w:val="19"/>
              </w:rPr>
              <w:t>Cap table</w:t>
            </w:r>
          </w:p>
        </w:tc>
        <w:tc>
          <w:tcPr>
            <w:tcW w:type="dxa" w:w="6873"/>
            <w:vAlign w:val="center"/>
          </w:tcPr>
          <w:p>
            <w:r>
              <w:rPr>
                <w:rFonts w:ascii="Calibri" w:hAnsi="Calibri"/>
                <w:b w:val="0"/>
                <w:i w:val="0"/>
                <w:color w:val="1B2430"/>
                <w:sz w:val="19"/>
              </w:rPr>
              <w:t>A simple chart of who owns what. It lists every owner and how much of the company they hold.</w:t>
            </w:r>
          </w:p>
        </w:tc>
      </w:tr>
      <w:tr>
        <w:tc>
          <w:tcPr>
            <w:tcW w:type="dxa" w:w="3207"/>
            <w:vAlign w:val="center"/>
          </w:tcPr>
          <w:p>
            <w:r>
              <w:rPr>
                <w:rFonts w:ascii="Calibri" w:hAnsi="Calibri"/>
                <w:b w:val="0"/>
                <w:i w:val="0"/>
                <w:color w:val="1B2430"/>
                <w:sz w:val="19"/>
              </w:rPr>
              <w:t>HoldCo / OpCo</w:t>
            </w:r>
          </w:p>
        </w:tc>
        <w:tc>
          <w:tcPr>
            <w:tcW w:type="dxa" w:w="6873"/>
            <w:vAlign w:val="center"/>
          </w:tcPr>
          <w:p>
            <w:r>
              <w:rPr>
                <w:rFonts w:ascii="Calibri" w:hAnsi="Calibri"/>
                <w:b w:val="0"/>
                <w:i w:val="0"/>
                <w:color w:val="1B2430"/>
                <w:sz w:val="19"/>
              </w:rPr>
              <w:t>A two-layer setup: the holding company owns things (the brand, the real estate, the equity), and the operating company runs the day-to-day. It keeps your valuable assets protected and separate from the riskier daily operations.</w:t>
            </w:r>
          </w:p>
        </w:tc>
      </w:tr>
      <w:tr>
        <w:tc>
          <w:tcPr>
            <w:tcW w:type="dxa" w:w="3207"/>
            <w:vAlign w:val="center"/>
          </w:tcPr>
          <w:p>
            <w:r>
              <w:rPr>
                <w:rFonts w:ascii="Calibri" w:hAnsi="Calibri"/>
                <w:b w:val="0"/>
                <w:i w:val="0"/>
                <w:color w:val="1B2430"/>
                <w:sz w:val="19"/>
              </w:rPr>
              <w:t>Operating agreement</w:t>
            </w:r>
          </w:p>
        </w:tc>
        <w:tc>
          <w:tcPr>
            <w:tcW w:type="dxa" w:w="6873"/>
            <w:vAlign w:val="center"/>
          </w:tcPr>
          <w:p>
            <w:r>
              <w:rPr>
                <w:rFonts w:ascii="Calibri" w:hAnsi="Calibri"/>
                <w:b w:val="0"/>
                <w:i w:val="0"/>
                <w:color w:val="1B2430"/>
                <w:sz w:val="19"/>
              </w:rPr>
              <w:t>The rulebook for an LLC. It spells out who owns what, who makes decisions, how money is split, and what happens if someone leaves.</w:t>
            </w:r>
          </w:p>
        </w:tc>
      </w:tr>
      <w:tr>
        <w:tc>
          <w:tcPr>
            <w:tcW w:type="dxa" w:w="3207"/>
            <w:vAlign w:val="center"/>
          </w:tcPr>
          <w:p>
            <w:r>
              <w:rPr>
                <w:rFonts w:ascii="Calibri" w:hAnsi="Calibri"/>
                <w:b w:val="0"/>
                <w:i w:val="0"/>
                <w:color w:val="1B2430"/>
                <w:sz w:val="19"/>
              </w:rPr>
              <w:t>Reserved matters</w:t>
            </w:r>
          </w:p>
        </w:tc>
        <w:tc>
          <w:tcPr>
            <w:tcW w:type="dxa" w:w="6873"/>
            <w:vAlign w:val="center"/>
          </w:tcPr>
          <w:p>
            <w:r>
              <w:rPr>
                <w:rFonts w:ascii="Calibri" w:hAnsi="Calibri"/>
                <w:b w:val="0"/>
                <w:i w:val="0"/>
                <w:color w:val="1B2430"/>
                <w:sz w:val="19"/>
              </w:rPr>
              <w:t>The list of decisions that cannot be made without your agreement. Control is this list, not the percentage on the cap table.</w:t>
            </w:r>
          </w:p>
        </w:tc>
      </w:tr>
      <w:tr>
        <w:tc>
          <w:tcPr>
            <w:tcW w:type="dxa" w:w="3207"/>
            <w:vAlign w:val="center"/>
          </w:tcPr>
          <w:p>
            <w:r>
              <w:rPr>
                <w:rFonts w:ascii="Calibri" w:hAnsi="Calibri"/>
                <w:b w:val="0"/>
                <w:i w:val="0"/>
                <w:color w:val="1B2430"/>
                <w:sz w:val="19"/>
              </w:rPr>
              <w:t>Ordinary course threshold</w:t>
            </w:r>
          </w:p>
        </w:tc>
        <w:tc>
          <w:tcPr>
            <w:tcW w:type="dxa" w:w="6873"/>
            <w:vAlign w:val="center"/>
          </w:tcPr>
          <w:p>
            <w:r>
              <w:rPr>
                <w:rFonts w:ascii="Calibri" w:hAnsi="Calibri"/>
                <w:b w:val="0"/>
                <w:i w:val="0"/>
                <w:color w:val="1B2430"/>
                <w:sz w:val="19"/>
              </w:rPr>
              <w:t>A dollar line. Below it, one partner can act alone. Above it, everyone has to agree.</w:t>
            </w:r>
          </w:p>
        </w:tc>
      </w:tr>
      <w:tr>
        <w:tc>
          <w:tcPr>
            <w:tcW w:type="dxa" w:w="3207"/>
            <w:vAlign w:val="center"/>
          </w:tcPr>
          <w:p>
            <w:r>
              <w:rPr>
                <w:rFonts w:ascii="Calibri" w:hAnsi="Calibri"/>
                <w:b w:val="0"/>
                <w:i w:val="0"/>
                <w:color w:val="1B2430"/>
                <w:sz w:val="19"/>
              </w:rPr>
              <w:t>Deadlock</w:t>
            </w:r>
          </w:p>
        </w:tc>
        <w:tc>
          <w:tcPr>
            <w:tcW w:type="dxa" w:w="6873"/>
            <w:vAlign w:val="center"/>
          </w:tcPr>
          <w:p>
            <w:r>
              <w:rPr>
                <w:rFonts w:ascii="Calibri" w:hAnsi="Calibri"/>
                <w:b w:val="0"/>
                <w:i w:val="0"/>
                <w:color w:val="1B2430"/>
                <w:sz w:val="19"/>
              </w:rPr>
              <w:t>When owners who need to agree cannot, and no one can carry the decision. The agreement should say what happens next, in steps.</w:t>
            </w:r>
          </w:p>
        </w:tc>
      </w:tr>
      <w:tr>
        <w:tc>
          <w:tcPr>
            <w:tcW w:type="dxa" w:w="3207"/>
            <w:vAlign w:val="center"/>
          </w:tcPr>
          <w:p>
            <w:r>
              <w:rPr>
                <w:rFonts w:ascii="Calibri" w:hAnsi="Calibri"/>
                <w:b w:val="0"/>
                <w:i w:val="0"/>
                <w:color w:val="1B2430"/>
                <w:sz w:val="19"/>
              </w:rPr>
              <w:t>Buy-sell</w:t>
            </w:r>
          </w:p>
        </w:tc>
        <w:tc>
          <w:tcPr>
            <w:tcW w:type="dxa" w:w="6873"/>
            <w:vAlign w:val="center"/>
          </w:tcPr>
          <w:p>
            <w:r>
              <w:rPr>
                <w:rFonts w:ascii="Calibri" w:hAnsi="Calibri"/>
                <w:b w:val="0"/>
                <w:i w:val="0"/>
                <w:color w:val="1B2430"/>
                <w:sz w:val="19"/>
              </w:rPr>
              <w:t>The mechanism for one owner to buy the other out. A shotgun means one names a price and the other chooses whether to buy or sell at it.</w:t>
            </w:r>
          </w:p>
        </w:tc>
      </w:tr>
      <w:tr>
        <w:tc>
          <w:tcPr>
            <w:tcW w:type="dxa" w:w="3207"/>
            <w:vAlign w:val="center"/>
          </w:tcPr>
          <w:p>
            <w:r>
              <w:rPr>
                <w:rFonts w:ascii="Calibri" w:hAnsi="Calibri"/>
                <w:b w:val="0"/>
                <w:i w:val="0"/>
                <w:color w:val="1B2430"/>
                <w:sz w:val="19"/>
              </w:rPr>
              <w:t>Triggering event</w:t>
            </w:r>
          </w:p>
        </w:tc>
        <w:tc>
          <w:tcPr>
            <w:tcW w:type="dxa" w:w="6873"/>
            <w:vAlign w:val="center"/>
          </w:tcPr>
          <w:p>
            <w:r>
              <w:rPr>
                <w:rFonts w:ascii="Calibri" w:hAnsi="Calibri"/>
                <w:b w:val="0"/>
                <w:i w:val="0"/>
                <w:color w:val="1B2430"/>
                <w:sz w:val="19"/>
              </w:rPr>
              <w:t>Something that gives the other owners the right to buy someone out — death, disability, divorce, bankruptcy, or walking away.</w:t>
            </w:r>
          </w:p>
        </w:tc>
      </w:tr>
      <w:tr>
        <w:tc>
          <w:tcPr>
            <w:tcW w:type="dxa" w:w="3207"/>
            <w:vAlign w:val="center"/>
          </w:tcPr>
          <w:p>
            <w:r>
              <w:rPr>
                <w:rFonts w:ascii="Calibri" w:hAnsi="Calibri"/>
                <w:b w:val="0"/>
                <w:i w:val="0"/>
                <w:color w:val="1B2430"/>
                <w:sz w:val="19"/>
              </w:rPr>
              <w:t>Special purpose entity (SPV)</w:t>
            </w:r>
          </w:p>
        </w:tc>
        <w:tc>
          <w:tcPr>
            <w:tcW w:type="dxa" w:w="6873"/>
            <w:vAlign w:val="center"/>
          </w:tcPr>
          <w:p>
            <w:r>
              <w:rPr>
                <w:rFonts w:ascii="Calibri" w:hAnsi="Calibri"/>
                <w:b w:val="0"/>
                <w:i w:val="0"/>
                <w:color w:val="1B2430"/>
                <w:sz w:val="19"/>
              </w:rPr>
              <w:t>A company formed to hold exactly one thing — one property, one picture, one location — so its risks stay with it.</w:t>
            </w:r>
          </w:p>
        </w:tc>
      </w:tr>
    </w:tbl>
    <w:p>
      <w:pPr>
        <w:spacing w:after="8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2"/>
        <w:sz w:val="16"/>
      </w:rPr>
      <w:t xml:space="preserve">Structure Recommendation — Northstar Housing (Synthetic)   |   Page </w:t>
    </w:r>
    <w:r>
      <w:rPr>
        <w:rFonts w:ascii="Calibri" w:hAnsi="Calibri"/>
        <w:color w:val="5B6472"/>
        <w:sz w:val="16"/>
      </w:rPr>
      <w:fldChar w:fldCharType="begin"/>
      <w:instrText xml:space="preserve">PAGE</w:instrText>
      <w:fldChar w:fldCharType="end"/>
    </w:r>
    <w:r>
      <w:rPr>
        <w:rFonts w:ascii="Calibri" w:hAnsi="Calibri"/>
        <w:color w:val="5B6472"/>
        <w:sz w:val="16"/>
      </w:rPr>
      <w:t xml:space="preserve"> of </w:t>
    </w:r>
    <w:r>
      <w:rPr>
        <w:rFonts w:ascii="Calibri" w:hAnsi="Calibri"/>
        <w:color w:val="5B6472"/>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B8963E"/>
      </w:pBdr>
    </w:pPr>
    <w:r>
      <w:rPr>
        <w:rFonts w:ascii="Georgia" w:hAnsi="Georgia"/>
        <w:b/>
        <w:color w:val="0B1F3A"/>
        <w:sz w:val="16"/>
      </w:rPr>
      <w:t>TESSERA GROUP</w:t>
    </w:r>
    <w:r>
      <w:rPr>
        <w:rFonts w:ascii="Calibri" w:hAnsi="Calibri"/>
        <w:i/>
        <w:color w:val="5B6472"/>
        <w:sz w:val="16"/>
      </w:rPr>
      <w:t xml:space="preserve">   |   Structural advice — not legal or tax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4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Housing (Synthetic)</dc:title>
  <dc:subject>Entity structure recommendation for qualified counsel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