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Georgia" w:hAnsi="Georgia"/>
          <w:b/>
          <w:color w:val="0B1F3A"/>
          <w:sz w:val="34"/>
        </w:rPr>
        <w:t>Operating Agreement — Northstar Housing (Synthetic)</w:t>
      </w:r>
    </w:p>
    <w:p>
      <w:pPr>
        <w:spacing w:after="140" w:line="276" w:lineRule="auto"/>
      </w:pPr>
      <w:r>
        <w:rPr>
          <w:rFonts w:ascii="Calibri" w:hAnsi="Calibri"/>
          <w:b/>
          <w:i w:val="0"/>
          <w:color w:val="1B2430"/>
          <w:sz w:val="20"/>
        </w:rPr>
        <w:t>DRAFT — FOR QUALIFIED COUNSEL REVIEW BEFORE EXECUTION.</w:t>
      </w:r>
      <w:r>
        <w:rPr>
          <w:rFonts w:ascii="Calibri" w:hAnsi="Calibri"/>
          <w:b w:val="0"/>
          <w:i w:val="0"/>
          <w:color w:val="1B2430"/>
          <w:sz w:val="20"/>
        </w:rPr>
        <w:t xml:space="preserve"> Assembled from synthetic evaluation variants; not adopted by Tessera, not counsel-approved, and not legal advice.</w:t>
      </w:r>
    </w:p>
    <w:p>
      <w:pPr>
        <w:pStyle w:val="ListBullet"/>
        <w:spacing w:after="80"/>
      </w:pPr>
      <w:r>
        <w:rPr>
          <w:rFonts w:ascii="Calibri" w:hAnsi="Calibri"/>
          <w:b/>
          <w:i w:val="0"/>
          <w:color w:val="1B2430"/>
          <w:sz w:val="20"/>
        </w:rPr>
        <w:t>Counterparty:</w:t>
      </w:r>
      <w:r>
        <w:rPr>
          <w:rFonts w:ascii="Calibri" w:hAnsi="Calibri"/>
          <w:b w:val="0"/>
          <w:i w:val="0"/>
          <w:color w:val="1B2430"/>
          <w:sz w:val="20"/>
        </w:rPr>
        <w:t xml:space="preserve"> Cedar Capital LLC (Synthetic)</w:t>
      </w:r>
    </w:p>
    <w:p>
      <w:pPr>
        <w:pStyle w:val="ListBullet"/>
        <w:spacing w:after="80"/>
      </w:pPr>
      <w:r>
        <w:rPr>
          <w:rFonts w:ascii="Calibri" w:hAnsi="Calibri"/>
          <w:b/>
          <w:i w:val="0"/>
          <w:color w:val="1B2430"/>
          <w:sz w:val="20"/>
        </w:rPr>
        <w:t>Governing law:</w:t>
      </w:r>
      <w:r>
        <w:rPr>
          <w:rFonts w:ascii="Calibri" w:hAnsi="Calibri"/>
          <w:b w:val="0"/>
          <w:i w:val="0"/>
          <w:color w:val="1B2430"/>
          <w:sz w:val="20"/>
        </w:rPr>
        <w:t xml:space="preserve"> the State of Texas</w:t>
      </w:r>
    </w:p>
    <w:p>
      <w:pPr>
        <w:pStyle w:val="ListBullet"/>
        <w:spacing w:after="80"/>
      </w:pPr>
      <w:r>
        <w:rPr>
          <w:rFonts w:ascii="Calibri" w:hAnsi="Calibri"/>
          <w:b/>
          <w:i w:val="0"/>
          <w:color w:val="1B2430"/>
          <w:sz w:val="20"/>
        </w:rPr>
        <w:t>Risk posture:</w:t>
      </w:r>
      <w:r>
        <w:rPr>
          <w:rFonts w:ascii="Calibri" w:hAnsi="Calibri"/>
          <w:b w:val="0"/>
          <w:i w:val="0"/>
          <w:color w:val="1B2430"/>
          <w:sz w:val="20"/>
        </w:rPr>
        <w:t xml:space="preserve"> protective — selected for Tessera capital at risk, deal value of $3,000,000, an unrepresented counterparty</w:t>
      </w:r>
    </w:p>
    <w:p>
      <w:pPr>
        <w:pBdr>
          <w:bottom w:val="single" w:sz="6" w:space="4" w:color="B8963E"/>
        </w:pBdr>
      </w:pPr>
    </w:p>
    <w:p>
      <w:pPr>
        <w:spacing w:after="140" w:line="276" w:lineRule="auto"/>
      </w:pPr>
      <w:r>
        <w:rPr>
          <w:rFonts w:ascii="Calibri" w:hAnsi="Calibri"/>
          <w:b w:val="0"/>
          <w:i w:val="0"/>
          <w:color w:val="1B2430"/>
          <w:sz w:val="20"/>
        </w:rPr>
        <w:t>This Operating Agreement (this "Agreement") is entered into as of 1 October 2026 (the "Effective Date") by and among:</w:t>
      </w:r>
    </w:p>
    <w:p>
      <w:pPr>
        <w:pStyle w:val="ListBullet"/>
        <w:spacing w:after="80"/>
      </w:pPr>
      <w:r>
        <w:rPr>
          <w:rFonts w:ascii="Calibri" w:hAnsi="Calibri"/>
          <w:b/>
          <w:i w:val="0"/>
          <w:color w:val="1B2430"/>
          <w:sz w:val="20"/>
        </w:rPr>
        <w:t>Northstar Sponsor LLC (Synthetic)</w:t>
      </w:r>
      <w:r>
        <w:rPr>
          <w:rFonts w:ascii="Calibri" w:hAnsi="Calibri"/>
          <w:b w:val="0"/>
          <w:i w:val="0"/>
          <w:color w:val="1B2430"/>
          <w:sz w:val="20"/>
        </w:rPr>
        <w:t>, a Delaware limited liability company ("Member")</w:t>
      </w:r>
    </w:p>
    <w:p>
      <w:pPr>
        <w:pStyle w:val="ListBullet"/>
        <w:spacing w:after="80"/>
      </w:pPr>
      <w:r>
        <w:rPr>
          <w:rFonts w:ascii="Calibri" w:hAnsi="Calibri"/>
          <w:b/>
          <w:i w:val="0"/>
          <w:color w:val="1B2430"/>
          <w:sz w:val="20"/>
        </w:rPr>
        <w:t>Cedar Capital LLC (Synthetic)</w:t>
      </w:r>
      <w:r>
        <w:rPr>
          <w:rFonts w:ascii="Calibri" w:hAnsi="Calibri"/>
          <w:b w:val="0"/>
          <w:i w:val="0"/>
          <w:color w:val="1B2430"/>
          <w:sz w:val="20"/>
        </w:rPr>
        <w:t>, a Texas limited liability company ("Member")</w:t>
      </w:r>
    </w:p>
    <w:p>
      <w:pPr>
        <w:pBdr>
          <w:bottom w:val="single" w:sz="6" w:space="4" w:color="B8963E"/>
        </w:pBdr>
      </w:pPr>
    </w:p>
    <w:p>
      <w:pPr>
        <w:spacing w:before="300" w:after="120"/>
        <w:pBdr>
          <w:bottom w:val="single" w:sz="4" w:space="4" w:color="B8963E"/>
        </w:pBdr>
      </w:pPr>
      <w:r>
        <w:rPr>
          <w:rFonts w:ascii="Georgia" w:hAnsi="Georgia"/>
          <w:b/>
          <w:color w:val="0B1F3A"/>
          <w:sz w:val="24"/>
        </w:rPr>
        <w:t>1. Definitions</w:t>
      </w:r>
    </w:p>
    <w:p>
      <w:pPr>
        <w:spacing w:after="140" w:line="276" w:lineRule="auto"/>
      </w:pPr>
      <w:r>
        <w:rPr>
          <w:rFonts w:ascii="Calibri" w:hAnsi="Calibri"/>
          <w:b/>
          <w:i w:val="0"/>
          <w:color w:val="1B2430"/>
          <w:sz w:val="20"/>
        </w:rPr>
        <w:t>“Affiliate”</w:t>
      </w:r>
      <w:r>
        <w:rPr>
          <w:rFonts w:ascii="Calibri" w:hAnsi="Calibri"/>
          <w:b w:val="0"/>
          <w:i w:val="0"/>
          <w:color w:val="1B2430"/>
          <w:sz w:val="20"/>
        </w:rPr>
        <w:t xml:space="preserve"> means, in relation to any person, any other person that directly or indirectly controls, is controlled by, or is under common control with that person.</w:t>
      </w:r>
    </w:p>
    <w:p>
      <w:pPr>
        <w:spacing w:after="140" w:line="276" w:lineRule="auto"/>
      </w:pPr>
      <w:r>
        <w:rPr>
          <w:rFonts w:ascii="Calibri" w:hAnsi="Calibri"/>
          <w:b/>
          <w:i w:val="0"/>
          <w:color w:val="1B2430"/>
          <w:sz w:val="20"/>
        </w:rPr>
        <w:t>“Agreement”</w:t>
      </w:r>
      <w:r>
        <w:rPr>
          <w:rFonts w:ascii="Calibri" w:hAnsi="Calibri"/>
          <w:b w:val="0"/>
          <w:i w:val="0"/>
          <w:color w:val="1B2430"/>
          <w:sz w:val="20"/>
        </w:rPr>
        <w:t xml:space="preserve"> means this operating agreement, as amended from time to time.</w:t>
      </w:r>
    </w:p>
    <w:p>
      <w:pPr>
        <w:spacing w:after="140" w:line="276" w:lineRule="auto"/>
      </w:pPr>
      <w:r>
        <w:rPr>
          <w:rFonts w:ascii="Calibri" w:hAnsi="Calibri"/>
          <w:b/>
          <w:i w:val="0"/>
          <w:color w:val="1B2430"/>
          <w:sz w:val="20"/>
        </w:rPr>
        <w:t>“Assumed Tax Rate”</w:t>
      </w:r>
      <w:r>
        <w:rPr>
          <w:rFonts w:ascii="Calibri" w:hAnsi="Calibri"/>
          <w:b w:val="0"/>
          <w:i w:val="0"/>
          <w:color w:val="1B2430"/>
          <w:sz w:val="20"/>
        </w:rPr>
        <w:t xml:space="preserve"> means the highest combined marginal federal, state, and local income tax rate applicable to an individual resident in the State of Texas, as reasonably determined by the Manager.</w:t>
      </w:r>
    </w:p>
    <w:p>
      <w:pPr>
        <w:spacing w:after="140" w:line="276" w:lineRule="auto"/>
      </w:pPr>
      <w:r>
        <w:rPr>
          <w:rFonts w:ascii="Calibri" w:hAnsi="Calibri"/>
          <w:b/>
          <w:i w:val="0"/>
          <w:color w:val="1B2430"/>
          <w:sz w:val="20"/>
        </w:rPr>
        <w:t>“Capital Contribution”</w:t>
      </w:r>
      <w:r>
        <w:rPr>
          <w:rFonts w:ascii="Calibri" w:hAnsi="Calibri"/>
          <w:b w:val="0"/>
          <w:i w:val="0"/>
          <w:color w:val="1B2430"/>
          <w:sz w:val="20"/>
        </w:rPr>
        <w:t xml:space="preserve"> means the cash or property a Member contributes to the Company, as recorded on Schedule A.</w:t>
      </w:r>
    </w:p>
    <w:p>
      <w:pPr>
        <w:spacing w:after="140" w:line="276" w:lineRule="auto"/>
      </w:pPr>
      <w:r>
        <w:rPr>
          <w:rFonts w:ascii="Calibri" w:hAnsi="Calibri"/>
          <w:b/>
          <w:i w:val="0"/>
          <w:color w:val="1B2430"/>
          <w:sz w:val="20"/>
        </w:rPr>
        <w:t>“Certificate of Formation”</w:t>
      </w:r>
      <w:r>
        <w:rPr>
          <w:rFonts w:ascii="Calibri" w:hAnsi="Calibri"/>
          <w:b w:val="0"/>
          <w:i w:val="0"/>
          <w:color w:val="1B2430"/>
          <w:sz w:val="20"/>
        </w:rPr>
        <w:t xml:space="preserve"> means the certificate of formation of the Company filed with the Secretary of State of the State of Texas, as amended.</w:t>
      </w:r>
    </w:p>
    <w:p>
      <w:pPr>
        <w:spacing w:after="140" w:line="276" w:lineRule="auto"/>
      </w:pPr>
      <w:r>
        <w:rPr>
          <w:rFonts w:ascii="Calibri" w:hAnsi="Calibri"/>
          <w:b/>
          <w:i w:val="0"/>
          <w:color w:val="1B2430"/>
          <w:sz w:val="20"/>
        </w:rPr>
        <w:t>“Company”</w:t>
      </w:r>
      <w:r>
        <w:rPr>
          <w:rFonts w:ascii="Calibri" w:hAnsi="Calibri"/>
          <w:b w:val="0"/>
          <w:i w:val="0"/>
          <w:color w:val="1B2430"/>
          <w:sz w:val="20"/>
        </w:rPr>
        <w:t xml:space="preserve"> means the limited liability company governed by this Agreement.</w:t>
      </w:r>
    </w:p>
    <w:p>
      <w:pPr>
        <w:spacing w:after="140" w:line="276" w:lineRule="auto"/>
      </w:pPr>
      <w:r>
        <w:rPr>
          <w:rFonts w:ascii="Calibri" w:hAnsi="Calibri"/>
          <w:b/>
          <w:i w:val="0"/>
          <w:color w:val="1B2430"/>
          <w:sz w:val="20"/>
        </w:rPr>
        <w:t>“Deadlock”</w:t>
      </w:r>
      <w:r>
        <w:rPr>
          <w:rFonts w:ascii="Calibri" w:hAnsi="Calibri"/>
          <w:b w:val="0"/>
          <w:i w:val="0"/>
          <w:color w:val="1B2430"/>
          <w:sz w:val="20"/>
        </w:rPr>
        <w:t xml:space="preserve"> A documented failure to obtain the approval required for a Major Decision after the review steps in this Section.</w:t>
      </w:r>
    </w:p>
    <w:p>
      <w:pPr>
        <w:spacing w:after="140" w:line="276" w:lineRule="auto"/>
      </w:pPr>
      <w:r>
        <w:rPr>
          <w:rFonts w:ascii="Calibri" w:hAnsi="Calibri"/>
          <w:b/>
          <w:i w:val="0"/>
          <w:color w:val="1B2430"/>
          <w:sz w:val="20"/>
        </w:rPr>
        <w:t>“Disability”</w:t>
      </w:r>
      <w:r>
        <w:rPr>
          <w:rFonts w:ascii="Calibri" w:hAnsi="Calibri"/>
          <w:b w:val="0"/>
          <w:i w:val="0"/>
          <w:color w:val="1B2430"/>
          <w:sz w:val="20"/>
        </w:rPr>
        <w:t xml:space="preserve"> The inability of a Member, due to physical or mental incapacity, substantially to perform such Member's duties to the Company for either (i) 90 consecutive days or (ii) 120 days in any trailing period of 180 days, as reasonably determined by the other Members in good faith and, if disputed, confirmed by a licensed physician mutually acceptable to the Members.</w:t>
      </w:r>
    </w:p>
    <w:p>
      <w:pPr>
        <w:spacing w:after="140" w:line="276" w:lineRule="auto"/>
      </w:pPr>
      <w:r>
        <w:rPr>
          <w:rFonts w:ascii="Calibri" w:hAnsi="Calibri"/>
          <w:b/>
          <w:i w:val="0"/>
          <w:color w:val="1B2430"/>
          <w:sz w:val="20"/>
        </w:rPr>
        <w:t>“Distributable Cash”</w:t>
      </w:r>
      <w:r>
        <w:rPr>
          <w:rFonts w:ascii="Calibri" w:hAnsi="Calibri"/>
          <w:b w:val="0"/>
          <w:i w:val="0"/>
          <w:color w:val="1B2430"/>
          <w:sz w:val="20"/>
        </w:rPr>
        <w:t xml:space="preserve"> means cash held by the Company that the Manager determines is not required for Company obligations or reasonable reserves.</w:t>
      </w:r>
    </w:p>
    <w:p>
      <w:pPr>
        <w:spacing w:after="140" w:line="276" w:lineRule="auto"/>
      </w:pPr>
      <w:r>
        <w:rPr>
          <w:rFonts w:ascii="Calibri" w:hAnsi="Calibri"/>
          <w:b/>
          <w:i w:val="0"/>
          <w:color w:val="1B2430"/>
          <w:sz w:val="20"/>
        </w:rPr>
        <w:t>“Fair Market Value”</w:t>
      </w:r>
      <w:r>
        <w:rPr>
          <w:rFonts w:ascii="Calibri" w:hAnsi="Calibri"/>
          <w:b w:val="0"/>
          <w:i w:val="0"/>
          <w:color w:val="1B2430"/>
          <w:sz w:val="20"/>
        </w:rPr>
        <w:t xml:space="preserve"> The value of a Membership Interest determined in accordance with the Fair Market Value section of this Agreement.</w:t>
      </w:r>
    </w:p>
    <w:p>
      <w:pPr>
        <w:spacing w:after="140" w:line="276" w:lineRule="auto"/>
      </w:pPr>
      <w:r>
        <w:rPr>
          <w:rFonts w:ascii="Calibri" w:hAnsi="Calibri"/>
          <w:b/>
          <w:i w:val="0"/>
          <w:color w:val="1B2430"/>
          <w:sz w:val="20"/>
        </w:rPr>
        <w:t>“Major Decision”</w:t>
      </w:r>
      <w:r>
        <w:rPr>
          <w:rFonts w:ascii="Calibri" w:hAnsi="Calibri"/>
          <w:b w:val="0"/>
          <w:i w:val="0"/>
          <w:color w:val="1B2430"/>
          <w:sz w:val="20"/>
        </w:rPr>
        <w:t xml:space="preserve"> A decision expressly identified in this Agreement as requiring Member approval.</w:t>
      </w:r>
    </w:p>
    <w:p>
      <w:pPr>
        <w:spacing w:after="140" w:line="276" w:lineRule="auto"/>
      </w:pPr>
      <w:r>
        <w:rPr>
          <w:rFonts w:ascii="Calibri" w:hAnsi="Calibri"/>
          <w:b/>
          <w:i w:val="0"/>
          <w:color w:val="1B2430"/>
          <w:sz w:val="20"/>
        </w:rPr>
        <w:t>“Manager”</w:t>
      </w:r>
      <w:r>
        <w:rPr>
          <w:rFonts w:ascii="Calibri" w:hAnsi="Calibri"/>
          <w:b w:val="0"/>
          <w:i w:val="0"/>
          <w:color w:val="1B2430"/>
          <w:sz w:val="20"/>
        </w:rPr>
        <w:t xml:space="preserve"> means the person designated as manager of the Company under this Agreement, and any successor appointed in accordance with it.</w:t>
      </w:r>
    </w:p>
    <w:p>
      <w:pPr>
        <w:spacing w:after="140" w:line="276" w:lineRule="auto"/>
      </w:pPr>
      <w:r>
        <w:rPr>
          <w:rFonts w:ascii="Calibri" w:hAnsi="Calibri"/>
          <w:b/>
          <w:i w:val="0"/>
          <w:color w:val="1B2430"/>
          <w:sz w:val="20"/>
        </w:rPr>
        <w:t>“Managing Member”</w:t>
      </w:r>
      <w:r>
        <w:rPr>
          <w:rFonts w:ascii="Calibri" w:hAnsi="Calibri"/>
          <w:b w:val="0"/>
          <w:i w:val="0"/>
          <w:color w:val="1B2430"/>
          <w:sz w:val="20"/>
        </w:rPr>
        <w:t xml:space="preserve"> A Member identified in Schedule A as participating in day-to-day management.</w:t>
      </w:r>
    </w:p>
    <w:p>
      <w:pPr>
        <w:spacing w:after="140" w:line="276" w:lineRule="auto"/>
      </w:pPr>
      <w:r>
        <w:rPr>
          <w:rFonts w:ascii="Calibri" w:hAnsi="Calibri"/>
          <w:b/>
          <w:i w:val="0"/>
          <w:color w:val="1B2430"/>
          <w:sz w:val="20"/>
        </w:rPr>
        <w:t>“Member”</w:t>
      </w:r>
      <w:r>
        <w:rPr>
          <w:rFonts w:ascii="Calibri" w:hAnsi="Calibri"/>
          <w:b w:val="0"/>
          <w:i w:val="0"/>
          <w:color w:val="1B2430"/>
          <w:sz w:val="20"/>
        </w:rPr>
        <w:t xml:space="preserve"> means each person admitted as a member of the Company and listed on Schedule A, for so long as it holds Units.</w:t>
      </w:r>
    </w:p>
    <w:p>
      <w:pPr>
        <w:spacing w:after="140" w:line="276" w:lineRule="auto"/>
      </w:pPr>
      <w:r>
        <w:rPr>
          <w:rFonts w:ascii="Calibri" w:hAnsi="Calibri"/>
          <w:b/>
          <w:i w:val="0"/>
          <w:color w:val="1B2430"/>
          <w:sz w:val="20"/>
        </w:rPr>
        <w:t>“Ordinary Course Threshold”</w:t>
      </w:r>
      <w:r>
        <w:rPr>
          <w:rFonts w:ascii="Calibri" w:hAnsi="Calibri"/>
          <w:b w:val="0"/>
          <w:i w:val="0"/>
          <w:color w:val="1B2430"/>
          <w:sz w:val="20"/>
        </w:rPr>
        <w:t xml:space="preserve"> $60,000, solely as a synthetic drafting input subject to Member and counsel approval.</w:t>
      </w:r>
    </w:p>
    <w:p>
      <w:pPr>
        <w:spacing w:after="140" w:line="276" w:lineRule="auto"/>
      </w:pPr>
      <w:r>
        <w:rPr>
          <w:rFonts w:ascii="Calibri" w:hAnsi="Calibri"/>
          <w:b/>
          <w:i w:val="0"/>
          <w:color w:val="1B2430"/>
          <w:sz w:val="20"/>
        </w:rPr>
        <w:t>“Transfer”</w:t>
      </w:r>
      <w:r>
        <w:rPr>
          <w:rFonts w:ascii="Calibri" w:hAnsi="Calibri"/>
          <w:b w:val="0"/>
          <w:i w:val="0"/>
          <w:color w:val="1B2430"/>
          <w:sz w:val="20"/>
        </w:rPr>
        <w:t xml:space="preserve"> means any direct or indirect sale, assignment, gift, pledge, encumbrance, or other disposition, whether voluntary or by operation of law.</w:t>
      </w:r>
    </w:p>
    <w:p>
      <w:pPr>
        <w:spacing w:after="140" w:line="276" w:lineRule="auto"/>
      </w:pPr>
      <w:r>
        <w:rPr>
          <w:rFonts w:ascii="Calibri" w:hAnsi="Calibri"/>
          <w:b/>
          <w:i w:val="0"/>
          <w:color w:val="1B2430"/>
          <w:sz w:val="20"/>
        </w:rPr>
        <w:t>“Triggering Event”</w:t>
      </w:r>
      <w:r>
        <w:rPr>
          <w:rFonts w:ascii="Calibri" w:hAnsi="Calibri"/>
          <w:b w:val="0"/>
          <w:i w:val="0"/>
          <w:color w:val="1B2430"/>
          <w:sz w:val="20"/>
        </w:rPr>
        <w:t xml:space="preserve"> Each event listed in the Triggering Events section of this Agreement, in each case with respect to the Member to whom it relates.</w:t>
      </w:r>
    </w:p>
    <w:p>
      <w:pPr>
        <w:spacing w:after="140" w:line="276" w:lineRule="auto"/>
      </w:pPr>
      <w:r>
        <w:rPr>
          <w:rFonts w:ascii="Calibri" w:hAnsi="Calibri"/>
          <w:b/>
          <w:i w:val="0"/>
          <w:color w:val="1B2430"/>
          <w:sz w:val="20"/>
        </w:rPr>
        <w:t>“Units”</w:t>
      </w:r>
      <w:r>
        <w:rPr>
          <w:rFonts w:ascii="Calibri" w:hAnsi="Calibri"/>
          <w:b w:val="0"/>
          <w:i w:val="0"/>
          <w:color w:val="1B2430"/>
          <w:sz w:val="20"/>
        </w:rPr>
        <w:t xml:space="preserve"> means the limited liability company interests in the Company, representing a Member's economic and, except where this Agreement provides otherwise, voting rights.</w:t>
      </w:r>
    </w:p>
    <w:p>
      <w:pPr>
        <w:spacing w:after="140" w:line="276" w:lineRule="auto"/>
      </w:pPr>
      <w:r>
        <w:rPr>
          <w:rFonts w:ascii="Calibri" w:hAnsi="Calibri"/>
          <w:b/>
          <w:i w:val="0"/>
          <w:color w:val="1B2430"/>
          <w:sz w:val="20"/>
        </w:rPr>
        <w:t>“Unreturned Capital”</w:t>
      </w:r>
      <w:r>
        <w:rPr>
          <w:rFonts w:ascii="Calibri" w:hAnsi="Calibri"/>
          <w:b w:val="0"/>
          <w:i w:val="0"/>
          <w:color w:val="1B2430"/>
          <w:sz w:val="20"/>
        </w:rPr>
        <w:t xml:space="preserve"> means, for a Member at any time, its aggregate Capital Contributions less all amounts previously distributed to it under the return-of-capital tier of the Distributions Section.</w:t>
      </w:r>
    </w:p>
    <w:p>
      <w:pPr>
        <w:spacing w:after="140" w:line="276" w:lineRule="auto"/>
      </w:pPr>
      <w:r>
        <w:rPr>
          <w:rFonts w:ascii="Calibri" w:hAnsi="Calibri"/>
          <w:b/>
          <w:i w:val="0"/>
          <w:color w:val="1B2430"/>
          <w:sz w:val="20"/>
        </w:rPr>
        <w:t>“Unreturned Preferred Return”</w:t>
      </w:r>
      <w:r>
        <w:rPr>
          <w:rFonts w:ascii="Calibri" w:hAnsi="Calibri"/>
          <w:b w:val="0"/>
          <w:i w:val="0"/>
          <w:color w:val="1B2430"/>
          <w:sz w:val="20"/>
        </w:rPr>
        <w:t xml:space="preserve"> means, for a Member, the accrued and unpaid preferred return on its Unreturned Capital.</w:t>
      </w:r>
    </w:p>
    <w:p>
      <w:pPr>
        <w:spacing w:before="300" w:after="120"/>
        <w:pBdr>
          <w:bottom w:val="single" w:sz="4" w:space="4" w:color="B8963E"/>
        </w:pBdr>
      </w:pPr>
      <w:r>
        <w:rPr>
          <w:rFonts w:ascii="Georgia" w:hAnsi="Georgia"/>
          <w:b/>
          <w:color w:val="0B1F3A"/>
          <w:sz w:val="24"/>
        </w:rPr>
        <w:t>2. Purpose and Powers</w:t>
      </w:r>
    </w:p>
    <w:p>
      <w:pPr>
        <w:spacing w:after="140" w:line="276" w:lineRule="auto"/>
      </w:pPr>
      <w:r>
        <w:rPr>
          <w:rFonts w:ascii="Calibri" w:hAnsi="Calibri"/>
          <w:b/>
          <w:i w:val="0"/>
          <w:color w:val="1B2430"/>
          <w:sz w:val="20"/>
        </w:rPr>
        <w:t>2.1 Purpose.</w:t>
      </w:r>
      <w:r>
        <w:rPr>
          <w:rFonts w:ascii="Calibri" w:hAnsi="Calibri"/>
          <w:b w:val="0"/>
          <w:i w:val="0"/>
          <w:color w:val="1B2430"/>
          <w:sz w:val="20"/>
        </w:rPr>
        <w:t xml:space="preserve"> The Company is formed for the sole purpose of owning and operating fictional evaluation assets, and for activities reasonably incidental to that purpose. The Company shall not engage in any other business without the Approval of the Members.</w:t>
      </w:r>
    </w:p>
    <w:p>
      <w:pPr>
        <w:spacing w:after="140" w:line="276" w:lineRule="auto"/>
      </w:pPr>
      <w:r>
        <w:rPr>
          <w:rFonts w:ascii="Calibri" w:hAnsi="Calibri"/>
          <w:b/>
          <w:i w:val="0"/>
          <w:color w:val="1B2430"/>
          <w:sz w:val="20"/>
        </w:rPr>
        <w:t>2.2 Powers.</w:t>
      </w:r>
      <w:r>
        <w:rPr>
          <w:rFonts w:ascii="Calibri" w:hAnsi="Calibri"/>
          <w:b w:val="0"/>
          <w:i w:val="0"/>
          <w:color w:val="1B2430"/>
          <w:sz w:val="20"/>
        </w:rPr>
        <w:t xml:space="preserve"> Subject to Section 2.1 and to the reserved matters set out in this Agreement, the Company has the power to do all things necessary or convenient to carry out its purpose.</w:t>
      </w:r>
    </w:p>
    <w:p>
      <w:pPr>
        <w:spacing w:after="140" w:line="276" w:lineRule="auto"/>
      </w:pPr>
      <w:r>
        <w:rPr>
          <w:rFonts w:ascii="Calibri" w:hAnsi="Calibri"/>
          <w:b/>
          <w:i w:val="0"/>
          <w:color w:val="1B2430"/>
          <w:sz w:val="20"/>
        </w:rPr>
        <w:t>2.3 No Implied Expansion.</w:t>
      </w:r>
      <w:r>
        <w:rPr>
          <w:rFonts w:ascii="Calibri" w:hAnsi="Calibri"/>
          <w:b w:val="0"/>
          <w:i w:val="0"/>
          <w:color w:val="1B2430"/>
          <w:sz w:val="20"/>
        </w:rPr>
        <w:t xml:space="preserve"> No course of dealing, and no act taken by the Company or any Member, expands the purpose stated in Section 2.1.</w:t>
      </w:r>
    </w:p>
    <w:p>
      <w:pPr>
        <w:spacing w:before="300" w:after="120"/>
        <w:pBdr>
          <w:bottom w:val="single" w:sz="4" w:space="4" w:color="B8963E"/>
        </w:pBdr>
      </w:pPr>
      <w:r>
        <w:rPr>
          <w:rFonts w:ascii="Georgia" w:hAnsi="Georgia"/>
          <w:b/>
          <w:color w:val="0B1F3A"/>
          <w:sz w:val="24"/>
        </w:rPr>
        <w:t>3. Capital Contributions</w:t>
      </w:r>
    </w:p>
    <w:p>
      <w:pPr>
        <w:spacing w:after="140" w:line="276" w:lineRule="auto"/>
      </w:pPr>
      <w:r>
        <w:rPr>
          <w:rFonts w:ascii="Calibri" w:hAnsi="Calibri"/>
          <w:b/>
          <w:i w:val="0"/>
          <w:color w:val="1B2430"/>
          <w:sz w:val="20"/>
        </w:rPr>
        <w:t>3.1 Initial Contributions.</w:t>
      </w:r>
      <w:r>
        <w:rPr>
          <w:rFonts w:ascii="Calibri" w:hAnsi="Calibri"/>
          <w:b w:val="0"/>
          <w:i w:val="0"/>
          <w:color w:val="1B2430"/>
          <w:sz w:val="20"/>
        </w:rPr>
        <w:t xml:space="preserve"> Each Member has contributed the cash or property set out opposite its name on Schedule A, and has received the Units set out there. The Members acknowledge that the values stated on Schedule A are the agreed values of those contributions.</w:t>
      </w:r>
    </w:p>
    <w:p>
      <w:pPr>
        <w:spacing w:after="140" w:line="276" w:lineRule="auto"/>
      </w:pPr>
      <w:r>
        <w:rPr>
          <w:rFonts w:ascii="Calibri" w:hAnsi="Calibri"/>
          <w:b/>
          <w:i w:val="0"/>
          <w:color w:val="1B2430"/>
          <w:sz w:val="20"/>
        </w:rPr>
        <w:t>3.2 Capital Accounts.</w:t>
      </w:r>
      <w:r>
        <w:rPr>
          <w:rFonts w:ascii="Calibri" w:hAnsi="Calibri"/>
          <w:b w:val="0"/>
          <w:i w:val="0"/>
          <w:color w:val="1B2430"/>
          <w:sz w:val="20"/>
        </w:rPr>
        <w:t xml:space="preserve"> The Company shall maintain a capital account for each Member in accordance with Treasury Regulations Section 1.704-1(b)(2)(iv), increased by that Member's Capital Contributions and allocated profits, and decreased by distributions to that Member and allocated losses.</w:t>
      </w:r>
    </w:p>
    <w:p>
      <w:pPr>
        <w:spacing w:after="140" w:line="276" w:lineRule="auto"/>
      </w:pPr>
      <w:r>
        <w:rPr>
          <w:rFonts w:ascii="Calibri" w:hAnsi="Calibri"/>
          <w:b/>
          <w:i w:val="0"/>
          <w:color w:val="1B2430"/>
          <w:sz w:val="20"/>
        </w:rPr>
        <w:t>3.3 No Interest; No Withdrawal.</w:t>
      </w:r>
      <w:r>
        <w:rPr>
          <w:rFonts w:ascii="Calibri" w:hAnsi="Calibri"/>
          <w:b w:val="0"/>
          <w:i w:val="0"/>
          <w:color w:val="1B2430"/>
          <w:sz w:val="20"/>
        </w:rPr>
        <w:t xml:space="preserve"> No Member is entitled to interest on any Capital Contribution, or to withdraw or receive a return of any Capital Contribution except as expressly provided in this Agreement.</w:t>
      </w:r>
    </w:p>
    <w:p>
      <w:pPr>
        <w:spacing w:after="140" w:line="276" w:lineRule="auto"/>
      </w:pPr>
      <w:r>
        <w:rPr>
          <w:rFonts w:ascii="Calibri" w:hAnsi="Calibri"/>
          <w:b/>
          <w:i w:val="0"/>
          <w:color w:val="1B2430"/>
          <w:sz w:val="20"/>
        </w:rPr>
        <w:t>3.4 No Liability for Return.</w:t>
      </w:r>
      <w:r>
        <w:rPr>
          <w:rFonts w:ascii="Calibri" w:hAnsi="Calibri"/>
          <w:b w:val="0"/>
          <w:i w:val="0"/>
          <w:color w:val="1B2430"/>
          <w:sz w:val="20"/>
        </w:rPr>
        <w:t xml:space="preserve"> No Member is personally liable for the return of any other Member's Capital Contribution.</w:t>
      </w:r>
    </w:p>
    <w:p>
      <w:pPr>
        <w:spacing w:after="140" w:line="276" w:lineRule="auto"/>
      </w:pPr>
      <w:r>
        <w:rPr>
          <w:rFonts w:ascii="Calibri" w:hAnsi="Calibri"/>
          <w:b/>
          <w:i w:val="0"/>
          <w:color w:val="1B2430"/>
          <w:sz w:val="20"/>
        </w:rPr>
        <w:t>3.5 Additional Capital.</w:t>
      </w:r>
      <w:r>
        <w:rPr>
          <w:rFonts w:ascii="Calibri" w:hAnsi="Calibri"/>
          <w:b w:val="0"/>
          <w:i w:val="0"/>
          <w:color w:val="1B2430"/>
          <w:sz w:val="20"/>
        </w:rPr>
        <w:t xml:space="preserve"> Additional Capital Contributions, and the consequences of a failure to fund an approved call, are governed by Section 4.</w:t>
      </w:r>
    </w:p>
    <w:p>
      <w:pPr>
        <w:spacing w:before="300" w:after="120"/>
        <w:pBdr>
          <w:bottom w:val="single" w:sz="4" w:space="4" w:color="B8963E"/>
        </w:pBdr>
      </w:pPr>
      <w:r>
        <w:rPr>
          <w:rFonts w:ascii="Georgia" w:hAnsi="Georgia"/>
          <w:b/>
          <w:color w:val="0B1F3A"/>
          <w:sz w:val="24"/>
        </w:rPr>
        <w:t>4. Additional Capital and Funding Shortfalls</w:t>
      </w:r>
    </w:p>
    <w:p>
      <w:pPr>
        <w:spacing w:after="140" w:line="276" w:lineRule="auto"/>
      </w:pPr>
      <w:r>
        <w:rPr>
          <w:rFonts w:ascii="Calibri" w:hAnsi="Calibri"/>
          <w:b/>
          <w:i w:val="0"/>
          <w:color w:val="1B2430"/>
          <w:sz w:val="20"/>
        </w:rPr>
        <w:t>4. Additional Capital.</w:t>
      </w:r>
      <w:r>
        <w:rPr>
          <w:rFonts w:ascii="Calibri" w:hAnsi="Calibri"/>
          <w:b w:val="0"/>
          <w:i w:val="0"/>
          <w:color w:val="1B2430"/>
          <w:sz w:val="20"/>
        </w:rPr>
        <w:t xml:space="preserve"> No Member is required to contribute additional capital unless the Members approve the amount, purpose, allocation, funding date, and consequences of a shortfall in writing. Any advance made for another Member is recorded as a proposed member loan only and has no binding economic effect until qualified counsel incorporates the approved terms into this Agreement.</w:t>
      </w:r>
    </w:p>
    <w:p>
      <w:pPr>
        <w:spacing w:before="300" w:after="120"/>
        <w:pBdr>
          <w:bottom w:val="single" w:sz="4" w:space="4" w:color="B8963E"/>
        </w:pBdr>
      </w:pPr>
      <w:r>
        <w:rPr>
          <w:rFonts w:ascii="Georgia" w:hAnsi="Georgia"/>
          <w:b/>
          <w:color w:val="0B1F3A"/>
          <w:sz w:val="24"/>
        </w:rPr>
        <w:t>5. Distributions</w:t>
      </w:r>
    </w:p>
    <w:p>
      <w:pPr>
        <w:spacing w:after="140" w:line="276" w:lineRule="auto"/>
      </w:pPr>
      <w:r>
        <w:rPr>
          <w:rFonts w:ascii="Calibri" w:hAnsi="Calibri"/>
          <w:b/>
          <w:i w:val="0"/>
          <w:color w:val="1B2430"/>
          <w:sz w:val="20"/>
        </w:rPr>
        <w:t>5.1 Distributable Cash.</w:t>
      </w:r>
      <w:r>
        <w:rPr>
          <w:rFonts w:ascii="Calibri" w:hAnsi="Calibri"/>
          <w:b w:val="0"/>
          <w:i w:val="0"/>
          <w:color w:val="1B2430"/>
          <w:sz w:val="20"/>
        </w:rPr>
        <w:t xml:space="preserve"> The Manager shall determine Distributable Cash after providing for Company obligations and reasonable reserves, and shall distribute it to the Members in the following order of priority:</w:t>
      </w:r>
    </w:p>
    <w:p>
      <w:pPr>
        <w:spacing w:after="140" w:line="276" w:lineRule="auto"/>
      </w:pPr>
      <w:r>
        <w:rPr>
          <w:rFonts w:ascii="Calibri" w:hAnsi="Calibri"/>
          <w:b w:val="0"/>
          <w:i w:val="0"/>
          <w:color w:val="1B2430"/>
          <w:sz w:val="20"/>
        </w:rPr>
        <w:t>(a) first, to the Members in proportion to their Unreturned Preferred Return, until each has received a cumulative, non-compounding return of 8% per annum on its Unreturned Capital;</w:t>
      </w:r>
    </w:p>
    <w:p>
      <w:pPr>
        <w:spacing w:after="140" w:line="276" w:lineRule="auto"/>
      </w:pPr>
      <w:r>
        <w:rPr>
          <w:rFonts w:ascii="Calibri" w:hAnsi="Calibri"/>
          <w:b w:val="0"/>
          <w:i w:val="0"/>
          <w:color w:val="1B2430"/>
          <w:sz w:val="20"/>
        </w:rPr>
        <w:t>(b) second, to the Members in proportion to their Unreturned Capital, until each has received an amount equal to its Capital Contributions;</w:t>
      </w:r>
    </w:p>
    <w:p>
      <w:pPr>
        <w:spacing w:after="140" w:line="276" w:lineRule="auto"/>
      </w:pPr>
      <w:r>
        <w:rPr>
          <w:rFonts w:ascii="Calibri" w:hAnsi="Calibri"/>
          <w:b w:val="0"/>
          <w:i w:val="0"/>
          <w:color w:val="1B2430"/>
          <w:sz w:val="20"/>
        </w:rPr>
        <w:t>(c) third, to Northstar Sponsor LLC until it has received an amount equal to the promote percentage of all amounts distributed under paragraph (a) and this paragraph (c) (the “Catch-Up”); and</w:t>
      </w:r>
    </w:p>
    <w:p>
      <w:pPr>
        <w:spacing w:after="140" w:line="276" w:lineRule="auto"/>
      </w:pPr>
      <w:r>
        <w:rPr>
          <w:rFonts w:ascii="Calibri" w:hAnsi="Calibri"/>
          <w:b w:val="0"/>
          <w:i w:val="0"/>
          <w:color w:val="1B2430"/>
          <w:sz w:val="20"/>
        </w:rPr>
        <w:t>(d) thereafter, 80% to the Members in proportion to their Units and the balance to Northstar Sponsor LLC as a promote.</w:t>
      </w:r>
    </w:p>
    <w:p>
      <w:pPr>
        <w:spacing w:after="140" w:line="276" w:lineRule="auto"/>
      </w:pPr>
      <w:r>
        <w:rPr>
          <w:rFonts w:ascii="Calibri" w:hAnsi="Calibri"/>
          <w:b/>
          <w:i w:val="0"/>
          <w:color w:val="1B2430"/>
          <w:sz w:val="20"/>
        </w:rPr>
        <w:t>5.2 Tax Distributions.</w:t>
      </w:r>
      <w:r>
        <w:rPr>
          <w:rFonts w:ascii="Calibri" w:hAnsi="Calibri"/>
          <w:b w:val="0"/>
          <w:i w:val="0"/>
          <w:color w:val="1B2430"/>
          <w:sz w:val="20"/>
        </w:rPr>
        <w:t xml:space="preserve"> Notwithstanding Section 5.1, the Manager shall use commercially reasonable efforts to distribute to each Member, within 75 days after each taxable year, an amount at least equal to the estimated tax liability attributable to that Member's allocated share of Company taxable income, calculated at the Assumed Tax Rate. Tax Distributions are advances against, and reduce, amounts otherwise distributable under Section 5.1.</w:t>
      </w:r>
    </w:p>
    <w:p>
      <w:pPr>
        <w:spacing w:after="140" w:line="276" w:lineRule="auto"/>
      </w:pPr>
      <w:r>
        <w:rPr>
          <w:rFonts w:ascii="Calibri" w:hAnsi="Calibri"/>
          <w:b/>
          <w:i w:val="0"/>
          <w:color w:val="1B2430"/>
          <w:sz w:val="20"/>
        </w:rPr>
        <w:t>5.3 Restrictions.</w:t>
      </w:r>
      <w:r>
        <w:rPr>
          <w:rFonts w:ascii="Calibri" w:hAnsi="Calibri"/>
          <w:b w:val="0"/>
          <w:i w:val="0"/>
          <w:color w:val="1B2430"/>
          <w:sz w:val="20"/>
        </w:rPr>
        <w:t xml:space="preserve"> No distribution shall be made if it would render the Company unable to pay its debts as they become due, would violate the applicable synthetic entity statute placeholder, or would breach any financing document to which the Company is a party.</w:t>
      </w:r>
    </w:p>
    <w:p>
      <w:pPr>
        <w:spacing w:after="140" w:line="276" w:lineRule="auto"/>
      </w:pPr>
      <w:r>
        <w:rPr>
          <w:rFonts w:ascii="Calibri" w:hAnsi="Calibri"/>
          <w:b/>
          <w:i w:val="0"/>
          <w:color w:val="1B2430"/>
          <w:sz w:val="20"/>
        </w:rPr>
        <w:t>5.4 Clawback.</w:t>
      </w:r>
      <w:r>
        <w:rPr>
          <w:rFonts w:ascii="Calibri" w:hAnsi="Calibri"/>
          <w:b w:val="0"/>
          <w:i w:val="0"/>
          <w:color w:val="1B2430"/>
          <w:sz w:val="20"/>
        </w:rPr>
        <w:t xml:space="preserve"> If, upon the final liquidating distribution, Northstar Sponsor LLC has received cumulative promote distributions exceeding the amount it would have received had all distributions been made at one time under Section 5.1, Northstar Sponsor LLC shall return the excess to the Company for distribution to the other Members.</w:t>
      </w:r>
    </w:p>
    <w:p>
      <w:pPr>
        <w:spacing w:after="140" w:line="276" w:lineRule="auto"/>
      </w:pPr>
      <w:r>
        <w:rPr>
          <w:rFonts w:ascii="Calibri" w:hAnsi="Calibri"/>
          <w:b/>
          <w:i w:val="0"/>
          <w:color w:val="1B2430"/>
          <w:sz w:val="20"/>
        </w:rPr>
        <w:t>5.5 Withholding.</w:t>
      </w:r>
      <w:r>
        <w:rPr>
          <w:rFonts w:ascii="Calibri" w:hAnsi="Calibri"/>
          <w:b w:val="0"/>
          <w:i w:val="0"/>
          <w:color w:val="1B2430"/>
          <w:sz w:val="20"/>
        </w:rPr>
        <w:t xml:space="preserve"> Any amount withheld or paid over by the Company in respect of a Member is treated as distributed to that Member.</w:t>
      </w:r>
    </w:p>
    <w:p>
      <w:pPr>
        <w:spacing w:before="300" w:after="120"/>
        <w:pBdr>
          <w:bottom w:val="single" w:sz="4" w:space="4" w:color="B8963E"/>
        </w:pBdr>
      </w:pPr>
      <w:r>
        <w:rPr>
          <w:rFonts w:ascii="Georgia" w:hAnsi="Georgia"/>
          <w:b/>
          <w:color w:val="0B1F3A"/>
          <w:sz w:val="24"/>
        </w:rPr>
        <w:t>6. Titles and Authority</w:t>
      </w:r>
    </w:p>
    <w:p>
      <w:pPr>
        <w:spacing w:after="140" w:line="276" w:lineRule="auto"/>
      </w:pPr>
      <w:r>
        <w:rPr>
          <w:rFonts w:ascii="Calibri" w:hAnsi="Calibri"/>
          <w:b/>
          <w:i w:val="0"/>
          <w:color w:val="1B2430"/>
          <w:sz w:val="20"/>
        </w:rPr>
        <w:t>6. Titles.</w:t>
      </w:r>
      <w:r>
        <w:rPr>
          <w:rFonts w:ascii="Calibri" w:hAnsi="Calibri"/>
          <w:b w:val="0"/>
          <w:i w:val="0"/>
          <w:color w:val="1B2430"/>
          <w:sz w:val="20"/>
        </w:rPr>
        <w:t xml:space="preserve"> The Members may adopt titles for use in the conduct of the Company's business. No title, however designated, confers authority, voting power, economic entitlement, or Percentage Interest beyond that expressly granted by this Agreement, and no Person dealing with the Company is entitled to rely on a title as evidence of authority to bind the Company.</w:t>
      </w:r>
    </w:p>
    <w:p>
      <w:pPr>
        <w:spacing w:before="300" w:after="120"/>
        <w:pBdr>
          <w:bottom w:val="single" w:sz="4" w:space="4" w:color="B8963E"/>
        </w:pBdr>
      </w:pPr>
      <w:r>
        <w:rPr>
          <w:rFonts w:ascii="Georgia" w:hAnsi="Georgia"/>
          <w:b/>
          <w:color w:val="0B1F3A"/>
          <w:sz w:val="24"/>
        </w:rPr>
        <w:t>7. Management</w:t>
      </w:r>
    </w:p>
    <w:p>
      <w:pPr>
        <w:spacing w:after="140" w:line="276" w:lineRule="auto"/>
      </w:pPr>
      <w:r>
        <w:rPr>
          <w:rFonts w:ascii="Calibri" w:hAnsi="Calibri"/>
          <w:b/>
          <w:i w:val="0"/>
          <w:color w:val="1B2430"/>
          <w:sz w:val="20"/>
        </w:rPr>
        <w:t>7.1 Management.</w:t>
      </w:r>
      <w:r>
        <w:rPr>
          <w:rFonts w:ascii="Calibri" w:hAnsi="Calibri"/>
          <w:b w:val="0"/>
          <w:i w:val="0"/>
          <w:color w:val="1B2430"/>
          <w:sz w:val="20"/>
        </w:rPr>
        <w:t xml:space="preserve"> The Company is member-managed. Each Managing Member has equal authority, rights, and responsibilities with respect to the management and control of the Company's business and affairs, subject to the Major Decisions set out in Section 8.</w:t>
      </w:r>
    </w:p>
    <w:p>
      <w:pPr>
        <w:spacing w:after="140" w:line="276" w:lineRule="auto"/>
      </w:pPr>
      <w:r>
        <w:rPr>
          <w:rFonts w:ascii="Calibri" w:hAnsi="Calibri"/>
          <w:b/>
          <w:i w:val="0"/>
          <w:color w:val="1B2430"/>
          <w:sz w:val="20"/>
        </w:rPr>
        <w:t>7.2 Standard of Care.</w:t>
      </w:r>
      <w:r>
        <w:rPr>
          <w:rFonts w:ascii="Calibri" w:hAnsi="Calibri"/>
          <w:b w:val="0"/>
          <w:i w:val="0"/>
          <w:color w:val="1B2430"/>
          <w:sz w:val="20"/>
        </w:rPr>
        <w:t xml:space="preserve"> Each Managing Member shall act in good faith and in a manner it reasonably believes to be in the best interests of the Company.</w:t>
      </w:r>
    </w:p>
    <w:p>
      <w:pPr>
        <w:spacing w:after="140" w:line="276" w:lineRule="auto"/>
      </w:pPr>
      <w:r>
        <w:rPr>
          <w:rFonts w:ascii="Calibri" w:hAnsi="Calibri"/>
          <w:b/>
          <w:i w:val="0"/>
          <w:color w:val="1B2430"/>
          <w:sz w:val="20"/>
        </w:rPr>
        <w:t>7.3 Outside Activities.</w:t>
      </w:r>
      <w:r>
        <w:rPr>
          <w:rFonts w:ascii="Calibri" w:hAnsi="Calibri"/>
          <w:b w:val="0"/>
          <w:i w:val="0"/>
          <w:color w:val="1B2430"/>
          <w:sz w:val="20"/>
        </w:rPr>
        <w:t xml:space="preserve"> Subject to the restrictive covenants in Section 21, each Member may engage in other business activities, provided they do not materially interfere with that Member's duties to the Company.</w:t>
      </w:r>
    </w:p>
    <w:p>
      <w:pPr>
        <w:spacing w:after="140" w:line="276" w:lineRule="auto"/>
      </w:pPr>
      <w:r>
        <w:rPr>
          <w:rFonts w:ascii="Calibri" w:hAnsi="Calibri"/>
          <w:b/>
          <w:i w:val="0"/>
          <w:color w:val="1B2430"/>
          <w:sz w:val="20"/>
        </w:rPr>
        <w:t>7.4 Officers.</w:t>
      </w:r>
      <w:r>
        <w:rPr>
          <w:rFonts w:ascii="Calibri" w:hAnsi="Calibri"/>
          <w:b w:val="0"/>
          <w:i w:val="0"/>
          <w:color w:val="1B2430"/>
          <w:sz w:val="20"/>
        </w:rPr>
        <w:t xml:space="preserve"> The Managing Members may, by unanimous consent, appoint officers and delegate authority to them, provided that no delegation diminishes the Major Decision rights reserved to the Members.</w:t>
      </w:r>
    </w:p>
    <w:p>
      <w:pPr>
        <w:spacing w:before="300" w:after="120"/>
        <w:pBdr>
          <w:bottom w:val="single" w:sz="4" w:space="4" w:color="B8963E"/>
        </w:pBdr>
      </w:pPr>
      <w:r>
        <w:rPr>
          <w:rFonts w:ascii="Georgia" w:hAnsi="Georgia"/>
          <w:b/>
          <w:color w:val="0B1F3A"/>
          <w:sz w:val="24"/>
        </w:rPr>
        <w:t>8. Member Authority and Reserved Decisions</w:t>
      </w:r>
    </w:p>
    <w:p>
      <w:pPr>
        <w:spacing w:after="140" w:line="276" w:lineRule="auto"/>
      </w:pPr>
      <w:r>
        <w:rPr>
          <w:rFonts w:ascii="Calibri" w:hAnsi="Calibri"/>
          <w:b/>
          <w:i w:val="0"/>
          <w:color w:val="1B2430"/>
          <w:sz w:val="20"/>
        </w:rPr>
        <w:t>8.1 Routine Authority.</w:t>
      </w:r>
      <w:r>
        <w:rPr>
          <w:rFonts w:ascii="Calibri" w:hAnsi="Calibri"/>
          <w:b w:val="0"/>
          <w:i w:val="0"/>
          <w:color w:val="1B2430"/>
          <w:sz w:val="20"/>
        </w:rPr>
        <w:t xml:space="preserve"> Each Managing Member may act for the Company only within the approved budget and only for a transaction not exceeding the Ordinary Course Threshold.</w:t>
      </w:r>
    </w:p>
    <w:p>
      <w:pPr>
        <w:spacing w:after="140" w:line="276" w:lineRule="auto"/>
      </w:pPr>
      <w:r>
        <w:rPr>
          <w:rFonts w:ascii="Calibri" w:hAnsi="Calibri"/>
          <w:b/>
          <w:i w:val="0"/>
          <w:color w:val="1B2430"/>
          <w:sz w:val="20"/>
        </w:rPr>
        <w:t>8.2 Major Decisions.</w:t>
      </w:r>
      <w:r>
        <w:rPr>
          <w:rFonts w:ascii="Calibri" w:hAnsi="Calibri"/>
          <w:b w:val="0"/>
          <w:i w:val="0"/>
          <w:color w:val="1B2430"/>
          <w:sz w:val="20"/>
        </w:rPr>
        <w:t xml:space="preserve"> A Managing Member may not commit the Company to a Major Decision without the approval specified in this Agreement. Titles alone do not expand authority.</w:t>
      </w:r>
    </w:p>
    <w:p>
      <w:pPr>
        <w:spacing w:before="300" w:after="120"/>
        <w:pBdr>
          <w:bottom w:val="single" w:sz="4" w:space="4" w:color="B8963E"/>
        </w:pBdr>
      </w:pPr>
      <w:r>
        <w:rPr>
          <w:rFonts w:ascii="Georgia" w:hAnsi="Georgia"/>
          <w:b/>
          <w:color w:val="0B1F3A"/>
          <w:sz w:val="24"/>
        </w:rPr>
        <w:t>9. Transfer Restrictions</w:t>
      </w:r>
    </w:p>
    <w:p>
      <w:pPr>
        <w:spacing w:after="140" w:line="276" w:lineRule="auto"/>
      </w:pPr>
      <w:r>
        <w:rPr>
          <w:rFonts w:ascii="Calibri" w:hAnsi="Calibri"/>
          <w:b/>
          <w:i w:val="0"/>
          <w:color w:val="1B2430"/>
          <w:sz w:val="20"/>
        </w:rPr>
        <w:t>9.1 General Restriction.</w:t>
      </w:r>
      <w:r>
        <w:rPr>
          <w:rFonts w:ascii="Calibri" w:hAnsi="Calibri"/>
          <w:b w:val="0"/>
          <w:i w:val="0"/>
          <w:color w:val="1B2430"/>
          <w:sz w:val="20"/>
        </w:rPr>
        <w:t xml:space="preserve"> No Member may Transfer all or any part of its Units except in accordance with this Section. Any purported Transfer in violation of this Section is void and shall not be recognised by the Company.</w:t>
      </w:r>
    </w:p>
    <w:p>
      <w:pPr>
        <w:spacing w:after="140" w:line="276" w:lineRule="auto"/>
      </w:pPr>
      <w:r>
        <w:rPr>
          <w:rFonts w:ascii="Calibri" w:hAnsi="Calibri"/>
          <w:b/>
          <w:i w:val="0"/>
          <w:color w:val="1B2430"/>
          <w:sz w:val="20"/>
        </w:rPr>
        <w:t>9.2 Permitted Transfers.</w:t>
      </w:r>
      <w:r>
        <w:rPr>
          <w:rFonts w:ascii="Calibri" w:hAnsi="Calibri"/>
          <w:b w:val="0"/>
          <w:i w:val="0"/>
          <w:color w:val="1B2430"/>
          <w:sz w:val="20"/>
        </w:rPr>
        <w:t xml:space="preserve"> A Member may Transfer Units to a Permitted Transferee without complying with Section 9.3, provided the transferee executes a joinder to this Agreement. "Permitted Transferee" means, for an entity Member, an entity wholly owned by it or by its ultimate beneficial owners; transfers by an individual Member for estate-planning purposes are governed by Section 10.</w:t>
      </w:r>
    </w:p>
    <w:p>
      <w:pPr>
        <w:spacing w:after="140" w:line="276" w:lineRule="auto"/>
      </w:pPr>
      <w:r>
        <w:rPr>
          <w:rFonts w:ascii="Calibri" w:hAnsi="Calibri"/>
          <w:b/>
          <w:i w:val="0"/>
          <w:color w:val="1B2430"/>
          <w:sz w:val="20"/>
        </w:rPr>
        <w:t>9.3 Right of First Refusal.</w:t>
      </w:r>
      <w:r>
        <w:rPr>
          <w:rFonts w:ascii="Calibri" w:hAnsi="Calibri"/>
          <w:b w:val="0"/>
          <w:i w:val="0"/>
          <w:color w:val="1B2430"/>
          <w:sz w:val="20"/>
        </w:rPr>
        <w:t xml:space="preserve"> A Member proposing to Transfer Units to any other person (the "Selling Member") shall first deliver written notice to the Company and the other Members stating the number of Units, the price, the identity of the proposed transferee, and all material terms, together with a copy of any written offer. The other Members may elect, within 45 days, to purchase all (but not less than all) of the offered Units on those terms, pro rata among those electing. If the right is not exercised in full within that period, the Selling Member may complete the Transfer to the named transferee, on terms no more favourable to the transferee than those stated, within 60 days, after which the restriction reapplies.</w:t>
      </w:r>
    </w:p>
    <w:p>
      <w:pPr>
        <w:spacing w:after="140" w:line="276" w:lineRule="auto"/>
      </w:pPr>
      <w:r>
        <w:rPr>
          <w:rFonts w:ascii="Calibri" w:hAnsi="Calibri"/>
          <w:b/>
          <w:i w:val="0"/>
          <w:color w:val="1B2430"/>
          <w:sz w:val="20"/>
        </w:rPr>
        <w:t>9.4 Conditions to Any Transfer.</w:t>
      </w:r>
      <w:r>
        <w:rPr>
          <w:rFonts w:ascii="Calibri" w:hAnsi="Calibri"/>
          <w:b w:val="0"/>
          <w:i w:val="0"/>
          <w:color w:val="1B2430"/>
          <w:sz w:val="20"/>
        </w:rPr>
        <w:t xml:space="preserve"> No Transfer is effective unless the transferee executes a joinder to this Agreement, the Transfer does not violate applicable securities laws, the Transfer does not cause a termination of the Company for tax purposes or a default under any financing document, and, if the Company holds any licence or permit, the Transfer has received any required regulatory approval.</w:t>
      </w:r>
    </w:p>
    <w:p>
      <w:pPr>
        <w:spacing w:after="140" w:line="276" w:lineRule="auto"/>
      </w:pPr>
      <w:r>
        <w:rPr>
          <w:rFonts w:ascii="Calibri" w:hAnsi="Calibri"/>
          <w:b/>
          <w:i w:val="0"/>
          <w:color w:val="1B2430"/>
          <w:sz w:val="20"/>
        </w:rPr>
        <w:t>9.5 Admission.</w:t>
      </w:r>
      <w:r>
        <w:rPr>
          <w:rFonts w:ascii="Calibri" w:hAnsi="Calibri"/>
          <w:b w:val="0"/>
          <w:i w:val="0"/>
          <w:color w:val="1B2430"/>
          <w:sz w:val="20"/>
        </w:rPr>
        <w:t xml:space="preserve"> A transferee becomes a Member only on satisfying Section 9.4 and, in the case of a Transfer other than to a Permitted Transferee, on the Approval of the Members. A transferee who is not admitted as a Member holds only an economic interest, with no voting, consent, information, or management rights.</w:t>
      </w:r>
    </w:p>
    <w:p>
      <w:pPr>
        <w:spacing w:before="300" w:after="120"/>
        <w:pBdr>
          <w:bottom w:val="single" w:sz="4" w:space="4" w:color="B8963E"/>
        </w:pBdr>
      </w:pPr>
      <w:r>
        <w:rPr>
          <w:rFonts w:ascii="Georgia" w:hAnsi="Georgia"/>
          <w:b/>
          <w:color w:val="0B1F3A"/>
          <w:sz w:val="24"/>
        </w:rPr>
        <w:t>10. Proposed Estate-Planning Transfer</w:t>
      </w:r>
    </w:p>
    <w:p>
      <w:pPr>
        <w:spacing w:after="140" w:line="276" w:lineRule="auto"/>
      </w:pPr>
      <w:r>
        <w:rPr>
          <w:rFonts w:ascii="Calibri" w:hAnsi="Calibri"/>
          <w:b/>
          <w:i w:val="0"/>
          <w:color w:val="1B2430"/>
          <w:sz w:val="20"/>
        </w:rPr>
        <w:t>10. Estate-Planning Transfers.</w:t>
      </w:r>
      <w:r>
        <w:rPr>
          <w:rFonts w:ascii="Calibri" w:hAnsi="Calibri"/>
          <w:b w:val="0"/>
          <w:i w:val="0"/>
          <w:color w:val="1B2430"/>
          <w:sz w:val="20"/>
        </w:rPr>
        <w:t xml:space="preserve"> A proposed transfer to an estate-planning vehicle requires advance written notice, confirmation that beneficial control and economics remain as approved, and execution of a counsel-approved joinder. No transfer is effective merely because it is described as estate planning.</w:t>
      </w:r>
    </w:p>
    <w:p>
      <w:pPr>
        <w:spacing w:before="300" w:after="120"/>
        <w:pBdr>
          <w:bottom w:val="single" w:sz="4" w:space="4" w:color="B8963E"/>
        </w:pBdr>
      </w:pPr>
      <w:r>
        <w:rPr>
          <w:rFonts w:ascii="Georgia" w:hAnsi="Georgia"/>
          <w:b/>
          <w:color w:val="0B1F3A"/>
          <w:sz w:val="24"/>
        </w:rPr>
        <w:t>11. Deadlock Review Process</w:t>
      </w:r>
    </w:p>
    <w:p>
      <w:pPr>
        <w:spacing w:after="140" w:line="276" w:lineRule="auto"/>
      </w:pPr>
      <w:r>
        <w:rPr>
          <w:rFonts w:ascii="Calibri" w:hAnsi="Calibri"/>
          <w:b/>
          <w:i w:val="0"/>
          <w:color w:val="1B2430"/>
          <w:sz w:val="20"/>
        </w:rPr>
        <w:t>11. Deadlock Review.</w:t>
      </w:r>
      <w:r>
        <w:rPr>
          <w:rFonts w:ascii="Calibri" w:hAnsi="Calibri"/>
          <w:b w:val="0"/>
          <w:i w:val="0"/>
          <w:color w:val="1B2430"/>
          <w:sz w:val="20"/>
        </w:rPr>
        <w:t xml:space="preserve"> A Member claiming a Deadlock must give written notice describing the decision and requested resolution. The Members must meet promptly and may use non-binding mediation. This synthetic clause does not create a buy-sell, dissolution, or transfer right; any such remedy must be separately approved and drafted by qualified counsel.</w:t>
      </w:r>
    </w:p>
    <w:p>
      <w:pPr>
        <w:spacing w:before="300" w:after="120"/>
        <w:pBdr>
          <w:bottom w:val="single" w:sz="4" w:space="4" w:color="B8963E"/>
        </w:pBdr>
      </w:pPr>
      <w:r>
        <w:rPr>
          <w:rFonts w:ascii="Georgia" w:hAnsi="Georgia"/>
          <w:b/>
          <w:color w:val="0B1F3A"/>
          <w:sz w:val="24"/>
        </w:rPr>
        <w:t>12. Triggering Events</w:t>
      </w:r>
    </w:p>
    <w:p>
      <w:pPr>
        <w:spacing w:after="140" w:line="276" w:lineRule="auto"/>
      </w:pPr>
      <w:r>
        <w:rPr>
          <w:rFonts w:ascii="Calibri" w:hAnsi="Calibri"/>
          <w:b/>
          <w:i w:val="0"/>
          <w:color w:val="1B2430"/>
          <w:sz w:val="20"/>
        </w:rPr>
        <w:t>12. Triggering Events.</w:t>
      </w:r>
      <w:r>
        <w:rPr>
          <w:rFonts w:ascii="Calibri" w:hAnsi="Calibri"/>
          <w:b w:val="0"/>
          <w:i w:val="0"/>
          <w:color w:val="1B2430"/>
          <w:sz w:val="20"/>
        </w:rPr>
        <w:t xml:space="preserve"> Each of the following constitutes a “Triggering Event” with respect to a Member (the “Triggering Member”):</w:t>
      </w:r>
    </w:p>
    <w:p>
      <w:pPr>
        <w:spacing w:after="140" w:line="276" w:lineRule="auto"/>
      </w:pPr>
      <w:r>
        <w:rPr>
          <w:rFonts w:ascii="Calibri" w:hAnsi="Calibri"/>
          <w:b w:val="0"/>
          <w:i w:val="0"/>
          <w:color w:val="1B2430"/>
          <w:sz w:val="20"/>
        </w:rPr>
        <w:t>(a) the death of the Triggering Member;</w:t>
      </w:r>
    </w:p>
    <w:p>
      <w:pPr>
        <w:spacing w:after="140" w:line="276" w:lineRule="auto"/>
      </w:pPr>
      <w:r>
        <w:rPr>
          <w:rFonts w:ascii="Calibri" w:hAnsi="Calibri"/>
          <w:b w:val="0"/>
          <w:i w:val="0"/>
          <w:color w:val="1B2430"/>
          <w:sz w:val="20"/>
        </w:rPr>
        <w:t>(b) the Disability of the Triggering Member;</w:t>
      </w:r>
    </w:p>
    <w:p>
      <w:pPr>
        <w:spacing w:after="140" w:line="276" w:lineRule="auto"/>
      </w:pPr>
      <w:r>
        <w:rPr>
          <w:rFonts w:ascii="Calibri" w:hAnsi="Calibri"/>
          <w:b w:val="0"/>
          <w:i w:val="0"/>
          <w:color w:val="1B2430"/>
          <w:sz w:val="20"/>
        </w:rPr>
        <w:t>(c) the filing of a voluntary or involuntary bankruptcy petition by or against the Triggering Member, or an assignment for the benefit of creditors;</w:t>
      </w:r>
    </w:p>
    <w:p>
      <w:pPr>
        <w:spacing w:after="140" w:line="276" w:lineRule="auto"/>
      </w:pPr>
      <w:r>
        <w:rPr>
          <w:rFonts w:ascii="Calibri" w:hAnsi="Calibri"/>
          <w:b w:val="0"/>
          <w:i w:val="0"/>
          <w:color w:val="1B2430"/>
          <w:sz w:val="20"/>
        </w:rPr>
        <w:t>(d) a divorce, dissolution of marriage, or other proceeding that would Transfer any portion of the Triggering Member's Membership Interest to a spouse or former spouse, other than pursuant to a premarital or postmarital agreement waiving such interest;</w:t>
      </w:r>
    </w:p>
    <w:p>
      <w:pPr>
        <w:spacing w:after="140" w:line="276" w:lineRule="auto"/>
      </w:pPr>
      <w:r>
        <w:rPr>
          <w:rFonts w:ascii="Calibri" w:hAnsi="Calibri"/>
          <w:b w:val="0"/>
          <w:i w:val="0"/>
          <w:color w:val="1B2430"/>
          <w:sz w:val="20"/>
        </w:rPr>
        <w:t>(e) the voluntary withdrawal or resignation of the Triggering Member from active involvement in the Company;</w:t>
      </w:r>
    </w:p>
    <w:p>
      <w:pPr>
        <w:spacing w:after="140" w:line="276" w:lineRule="auto"/>
      </w:pPr>
      <w:r>
        <w:rPr>
          <w:rFonts w:ascii="Calibri" w:hAnsi="Calibri"/>
          <w:b w:val="0"/>
          <w:i w:val="0"/>
          <w:color w:val="1B2430"/>
          <w:sz w:val="20"/>
        </w:rPr>
        <w:t>(f) a material, uncured breach of this Agreement by the Triggering Member, continuing for 30 days after written notice from another Member specifying the breach; or</w:t>
      </w:r>
    </w:p>
    <w:p>
      <w:pPr>
        <w:spacing w:after="140" w:line="276" w:lineRule="auto"/>
      </w:pPr>
      <w:r>
        <w:rPr>
          <w:rFonts w:ascii="Calibri" w:hAnsi="Calibri"/>
          <w:b w:val="0"/>
          <w:i w:val="0"/>
          <w:color w:val="1B2430"/>
          <w:sz w:val="20"/>
        </w:rPr>
        <w:t>(g) the conviction of, or plea of guilty or no contest by, the Triggering Member to a felony or any crime involving fraud, dishonesty, or moral turpitude, in each case materially and adversely affecting the Company.</w:t>
      </w:r>
    </w:p>
    <w:p>
      <w:pPr>
        <w:spacing w:before="300" w:after="120"/>
        <w:pBdr>
          <w:bottom w:val="single" w:sz="4" w:space="4" w:color="B8963E"/>
        </w:pBdr>
      </w:pPr>
      <w:r>
        <w:rPr>
          <w:rFonts w:ascii="Georgia" w:hAnsi="Georgia"/>
          <w:b/>
          <w:color w:val="0B1F3A"/>
          <w:sz w:val="24"/>
        </w:rPr>
        <w:t>13. Fair Market Value</w:t>
      </w:r>
    </w:p>
    <w:p>
      <w:pPr>
        <w:spacing w:after="140" w:line="276" w:lineRule="auto"/>
      </w:pPr>
      <w:r>
        <w:rPr>
          <w:rFonts w:ascii="Calibri" w:hAnsi="Calibri"/>
          <w:b/>
          <w:i w:val="0"/>
          <w:color w:val="1B2430"/>
          <w:sz w:val="20"/>
        </w:rPr>
        <w:t>13. Fair Market Value.</w:t>
      </w:r>
      <w:r>
        <w:rPr>
          <w:rFonts w:ascii="Calibri" w:hAnsi="Calibri"/>
          <w:b w:val="0"/>
          <w:i w:val="0"/>
          <w:color w:val="1B2430"/>
          <w:sz w:val="20"/>
        </w:rPr>
        <w:t xml:space="preserve"> Where this Agreement requires a purchase at Fair Market Value, the Members shall first attempt to agree on Fair Market Value within 15 days. If they cannot agree, each Member shall, within a further 15 days, select a qualified independent business appraiser. The two appraisers shall jointly determine Fair Market Value within 30 days. If the two determinations are within 10% of each other, Fair Market Value is the average of the two. If the determinations differ by more than 10%, the two appraisers shall jointly select a third independent appraiser whose determination of Fair Market Value is final and binding. Each Member bears the cost of its own appraiser; the cost of any third appraiser is shared equally.</w:t>
      </w:r>
    </w:p>
    <w:p>
      <w:pPr>
        <w:spacing w:before="300" w:after="120"/>
        <w:pBdr>
          <w:bottom w:val="single" w:sz="4" w:space="4" w:color="B8963E"/>
        </w:pBdr>
      </w:pPr>
      <w:r>
        <w:rPr>
          <w:rFonts w:ascii="Georgia" w:hAnsi="Georgia"/>
          <w:b/>
          <w:color w:val="0B1F3A"/>
          <w:sz w:val="24"/>
        </w:rPr>
        <w:t>14. Buy-Sell Procedure</w:t>
      </w:r>
    </w:p>
    <w:p>
      <w:pPr>
        <w:spacing w:after="140" w:line="276" w:lineRule="auto"/>
      </w:pPr>
      <w:r>
        <w:rPr>
          <w:rFonts w:ascii="Calibri" w:hAnsi="Calibri"/>
          <w:b/>
          <w:i w:val="0"/>
          <w:color w:val="1B2430"/>
          <w:sz w:val="20"/>
        </w:rPr>
        <w:t>14.1 Offer Notice.</w:t>
      </w:r>
      <w:r>
        <w:rPr>
          <w:rFonts w:ascii="Calibri" w:hAnsi="Calibri"/>
          <w:b w:val="0"/>
          <w:i w:val="0"/>
          <w:color w:val="1B2430"/>
          <w:sz w:val="20"/>
        </w:rPr>
        <w:t xml:space="preserve"> Upon a Triggering Event other than death or Disability, or upon a Deadlock that has reached the buy-sell step, the Member invoking this Section (the “Offeror”) shall deliver written notice to the other Member (the “Offeree”) stating a single price per one percent (1%) of Percentage Interest at which the Offeror is willing either to buy the Offeree's entire Membership Interest or to sell the Offeror's entire Membership Interest to the Offeree, at the Offeree's election.</w:t>
      </w:r>
    </w:p>
    <w:p>
      <w:pPr>
        <w:spacing w:after="140" w:line="276" w:lineRule="auto"/>
      </w:pPr>
      <w:r>
        <w:rPr>
          <w:rFonts w:ascii="Calibri" w:hAnsi="Calibri"/>
          <w:b/>
          <w:i w:val="0"/>
          <w:color w:val="1B2430"/>
          <w:sz w:val="20"/>
        </w:rPr>
        <w:t>14.2 Offeree Election.</w:t>
      </w:r>
      <w:r>
        <w:rPr>
          <w:rFonts w:ascii="Calibri" w:hAnsi="Calibri"/>
          <w:b w:val="0"/>
          <w:i w:val="0"/>
          <w:color w:val="1B2430"/>
          <w:sz w:val="20"/>
        </w:rPr>
        <w:t xml:space="preserve"> Within 30 days of the Offer Notice, the Offeree shall elect, by written notice to the Offeror, either (i) to sell the Offeree's entire Membership Interest to the Offeror at the stated price, or (ii) to purchase the Offeror's entire Membership Interest at the same stated price. Failure to elect within such period is deemed an election under clause (i).</w:t>
      </w:r>
    </w:p>
    <w:p>
      <w:pPr>
        <w:spacing w:after="140" w:line="276" w:lineRule="auto"/>
      </w:pPr>
      <w:r>
        <w:rPr>
          <w:rFonts w:ascii="Calibri" w:hAnsi="Calibri"/>
          <w:b/>
          <w:i w:val="0"/>
          <w:color w:val="1B2430"/>
          <w:sz w:val="20"/>
        </w:rPr>
        <w:t>14.3 Closing.</w:t>
      </w:r>
      <w:r>
        <w:rPr>
          <w:rFonts w:ascii="Calibri" w:hAnsi="Calibri"/>
          <w:b w:val="0"/>
          <w:i w:val="0"/>
          <w:color w:val="1B2430"/>
          <w:sz w:val="20"/>
        </w:rPr>
        <w:t xml:space="preserve"> Closing of the purchase shall occur within 60 days of the Offeree's election or deemed election, on the payment terms set out in Section 15.</w:t>
      </w:r>
    </w:p>
    <w:p>
      <w:pPr>
        <w:spacing w:after="140" w:line="276" w:lineRule="auto"/>
      </w:pPr>
      <w:r>
        <w:rPr>
          <w:rFonts w:ascii="Calibri" w:hAnsi="Calibri"/>
          <w:b/>
          <w:i w:val="0"/>
          <w:color w:val="1B2430"/>
          <w:sz w:val="20"/>
        </w:rPr>
        <w:t>14.4 Death or Disability.</w:t>
      </w:r>
      <w:r>
        <w:rPr>
          <w:rFonts w:ascii="Calibri" w:hAnsi="Calibri"/>
          <w:b w:val="0"/>
          <w:i w:val="0"/>
          <w:color w:val="1B2430"/>
          <w:sz w:val="20"/>
        </w:rPr>
        <w:t xml:space="preserve"> Upon the death or Disability of a Member, the other Member (or the Company, at the other Member's election) has the right, but not the obligation, exercisable by written notice within 90 days of the Triggering Event, to purchase all but not less than all of the affected Member's Membership Interest at Fair Market Value determined under Section 13, on the payment terms set out in Section 15. The Members may, but are not required to, fund this right through life or disability insurance owned by the Company or by the other Member, with premiums paid as the Members mutually agree.</w:t>
      </w:r>
    </w:p>
    <w:p>
      <w:pPr>
        <w:spacing w:before="300" w:after="120"/>
        <w:pBdr>
          <w:bottom w:val="single" w:sz="4" w:space="4" w:color="B8963E"/>
        </w:pBdr>
      </w:pPr>
      <w:r>
        <w:rPr>
          <w:rFonts w:ascii="Georgia" w:hAnsi="Georgia"/>
          <w:b/>
          <w:color w:val="0B1F3A"/>
          <w:sz w:val="24"/>
        </w:rPr>
        <w:t>15. Payment Terms and Withdrawal</w:t>
      </w:r>
    </w:p>
    <w:p>
      <w:pPr>
        <w:spacing w:after="140" w:line="276" w:lineRule="auto"/>
      </w:pPr>
      <w:r>
        <w:rPr>
          <w:rFonts w:ascii="Calibri" w:hAnsi="Calibri"/>
          <w:b/>
          <w:i w:val="0"/>
          <w:color w:val="1B2430"/>
          <w:sz w:val="20"/>
        </w:rPr>
        <w:t>15.1 Payment Terms.</w:t>
      </w:r>
      <w:r>
        <w:rPr>
          <w:rFonts w:ascii="Calibri" w:hAnsi="Calibri"/>
          <w:b w:val="0"/>
          <w:i w:val="0"/>
          <w:color w:val="1B2430"/>
          <w:sz w:val="20"/>
        </w:rPr>
        <w:t xml:space="preserve"> Unless the parties to a purchase under this Agreement otherwise agree in writing, the purchase price shall be paid: (i) 20% in cash at closing; and (ii) the remainder pursuant to a promissory note issued by the purchasing party, bearing interest at the applicable federal rate in effect at closing, payable in equal monthly installments of principal and interest over 36 months, and secured by a pledge of the Membership Interest being acquired. The purchasing party may prepay the note in whole or in part at any time without penalty.</w:t>
      </w:r>
    </w:p>
    <w:p>
      <w:pPr>
        <w:spacing w:after="140" w:line="276" w:lineRule="auto"/>
      </w:pPr>
      <w:r>
        <w:rPr>
          <w:rFonts w:ascii="Calibri" w:hAnsi="Calibri"/>
          <w:b/>
          <w:i w:val="0"/>
          <w:color w:val="1B2430"/>
          <w:sz w:val="20"/>
        </w:rPr>
        <w:t>15.2 Withdrawal from Management.</w:t>
      </w:r>
      <w:r>
        <w:rPr>
          <w:rFonts w:ascii="Calibri" w:hAnsi="Calibri"/>
          <w:b w:val="0"/>
          <w:i w:val="0"/>
          <w:color w:val="1B2430"/>
          <w:sz w:val="20"/>
        </w:rPr>
        <w:t xml:space="preserve"> Effective upon the closing of any purchase of a Member's entire Membership Interest under this Agreement, the selling Member automatically ceases to be a Managing Member or Manager, has no further right to participate in the management of the Company, and shall execute such further documents as are reasonably necessary to evidence the Transfer and withdrawal.</w:t>
      </w:r>
    </w:p>
    <w:p>
      <w:pPr>
        <w:spacing w:after="140" w:line="276" w:lineRule="auto"/>
      </w:pPr>
      <w:r>
        <w:rPr>
          <w:rFonts w:ascii="Calibri" w:hAnsi="Calibri"/>
          <w:b/>
          <w:i w:val="0"/>
          <w:color w:val="1B2430"/>
          <w:sz w:val="20"/>
        </w:rPr>
        <w:t>15.3 Continuing Obligations.</w:t>
      </w:r>
      <w:r>
        <w:rPr>
          <w:rFonts w:ascii="Calibri" w:hAnsi="Calibri"/>
          <w:b w:val="0"/>
          <w:i w:val="0"/>
          <w:color w:val="1B2430"/>
          <w:sz w:val="20"/>
        </w:rPr>
        <w:t xml:space="preserve"> The selling Member's obligations under the confidentiality, restrictive covenant, and work product provisions of this Agreement survive the closing in accordance with their terms.</w:t>
      </w:r>
    </w:p>
    <w:p>
      <w:pPr>
        <w:spacing w:before="300" w:after="120"/>
        <w:pBdr>
          <w:bottom w:val="single" w:sz="4" w:space="4" w:color="B8963E"/>
        </w:pBdr>
      </w:pPr>
      <w:r>
        <w:rPr>
          <w:rFonts w:ascii="Georgia" w:hAnsi="Georgia"/>
          <w:b/>
          <w:color w:val="0B1F3A"/>
          <w:sz w:val="24"/>
        </w:rPr>
        <w:t>16. Duties, Exculpation, and Indemnification</w:t>
      </w:r>
    </w:p>
    <w:p>
      <w:pPr>
        <w:spacing w:after="140" w:line="276" w:lineRule="auto"/>
      </w:pPr>
      <w:r>
        <w:rPr>
          <w:rFonts w:ascii="Calibri" w:hAnsi="Calibri"/>
          <w:b/>
          <w:i w:val="0"/>
          <w:color w:val="1B2430"/>
          <w:sz w:val="20"/>
        </w:rPr>
        <w:t>16.1 Duties.</w:t>
      </w:r>
      <w:r>
        <w:rPr>
          <w:rFonts w:ascii="Calibri" w:hAnsi="Calibri"/>
          <w:b w:val="0"/>
          <w:i w:val="0"/>
          <w:color w:val="1B2430"/>
          <w:sz w:val="20"/>
        </w:rPr>
        <w:t xml:space="preserve"> To the fullest extent permitted by the applicable synthetic entity statute placeholder, the duties of the Manager and each Member are limited to those expressly set out in this Agreement and the implied contractual covenant of good faith and fair dealing. Nothing in this Section waives the duty of loyalty in respect of any transaction between the Company and the Manager or any of its Affiliates, which remains subject to the Reserved Matters.</w:t>
      </w:r>
    </w:p>
    <w:p>
      <w:pPr>
        <w:spacing w:after="140" w:line="276" w:lineRule="auto"/>
      </w:pPr>
      <w:r>
        <w:rPr>
          <w:rFonts w:ascii="Calibri" w:hAnsi="Calibri"/>
          <w:b/>
          <w:i w:val="0"/>
          <w:color w:val="1B2430"/>
          <w:sz w:val="20"/>
        </w:rPr>
        <w:t>16.2 Other Activities.</w:t>
      </w:r>
      <w:r>
        <w:rPr>
          <w:rFonts w:ascii="Calibri" w:hAnsi="Calibri"/>
          <w:b w:val="0"/>
          <w:i w:val="0"/>
          <w:color w:val="1B2430"/>
          <w:sz w:val="20"/>
        </w:rPr>
        <w:t xml:space="preserve"> Each Member and the Manager may engage in other business activities, including activities competitive with the Company, and neither the Company nor any other Member has any right in those activities, provided that no Member or Manager may divert to itself an opportunity that the Company has begun to pursue or that was presented to it in its capacity as Member or Manager.</w:t>
      </w:r>
    </w:p>
    <w:p>
      <w:pPr>
        <w:spacing w:after="140" w:line="276" w:lineRule="auto"/>
      </w:pPr>
      <w:r>
        <w:rPr>
          <w:rFonts w:ascii="Calibri" w:hAnsi="Calibri"/>
          <w:b/>
          <w:i w:val="0"/>
          <w:color w:val="1B2430"/>
          <w:sz w:val="20"/>
        </w:rPr>
        <w:t>16.3 Exculpation.</w:t>
      </w:r>
      <w:r>
        <w:rPr>
          <w:rFonts w:ascii="Calibri" w:hAnsi="Calibri"/>
          <w:b w:val="0"/>
          <w:i w:val="0"/>
          <w:color w:val="1B2430"/>
          <w:sz w:val="20"/>
        </w:rPr>
        <w:t xml:space="preserve"> No Manager or Member is liable to the Company or any other Member for any act or omission taken in good faith and reasonably believed to be within the scope of authority conferred by this Agreement, except for fraud, wilful misconduct, gross negligence, or a knowing violation of law.</w:t>
      </w:r>
    </w:p>
    <w:p>
      <w:pPr>
        <w:spacing w:after="140" w:line="276" w:lineRule="auto"/>
      </w:pPr>
      <w:r>
        <w:rPr>
          <w:rFonts w:ascii="Calibri" w:hAnsi="Calibri"/>
          <w:b/>
          <w:i w:val="0"/>
          <w:color w:val="1B2430"/>
          <w:sz w:val="20"/>
        </w:rPr>
        <w:t>16.4 Indemnification.</w:t>
      </w:r>
      <w:r>
        <w:rPr>
          <w:rFonts w:ascii="Calibri" w:hAnsi="Calibri"/>
          <w:b w:val="0"/>
          <w:i w:val="0"/>
          <w:color w:val="1B2430"/>
          <w:sz w:val="20"/>
        </w:rPr>
        <w:t xml:space="preserve"> The Company shall indemnify each Manager and Member against any loss, claim, or expense (including reasonable attorneys' fees) arising from its service to the Company, except to the extent arising from conduct described in Section 16.3. Indemnification is payable only from Company assets, and no Member has any personal obligation in respect of it.</w:t>
      </w:r>
    </w:p>
    <w:p>
      <w:pPr>
        <w:spacing w:after="140" w:line="276" w:lineRule="auto"/>
      </w:pPr>
      <w:r>
        <w:rPr>
          <w:rFonts w:ascii="Calibri" w:hAnsi="Calibri"/>
          <w:b/>
          <w:i w:val="0"/>
          <w:color w:val="1B2430"/>
          <w:sz w:val="20"/>
        </w:rPr>
        <w:t>16.5 Advancement.</w:t>
      </w:r>
      <w:r>
        <w:rPr>
          <w:rFonts w:ascii="Calibri" w:hAnsi="Calibri"/>
          <w:b w:val="0"/>
          <w:i w:val="0"/>
          <w:color w:val="1B2430"/>
          <w:sz w:val="20"/>
        </w:rPr>
        <w:t xml:space="preserve"> The Company may advance expenses on receipt of a written undertaking to repay them if it is ultimately determined that the person was not entitled to indemnification.</w:t>
      </w:r>
    </w:p>
    <w:p>
      <w:pPr>
        <w:spacing w:before="300" w:after="120"/>
        <w:pBdr>
          <w:bottom w:val="single" w:sz="4" w:space="4" w:color="B8963E"/>
        </w:pBdr>
      </w:pPr>
      <w:r>
        <w:rPr>
          <w:rFonts w:ascii="Georgia" w:hAnsi="Georgia"/>
          <w:b/>
          <w:color w:val="0B1F3A"/>
          <w:sz w:val="24"/>
        </w:rPr>
        <w:t>17. Tax Distributions and Tax Matters</w:t>
      </w:r>
    </w:p>
    <w:p>
      <w:pPr>
        <w:spacing w:after="140" w:line="276" w:lineRule="auto"/>
      </w:pPr>
      <w:r>
        <w:rPr>
          <w:rFonts w:ascii="Calibri" w:hAnsi="Calibri"/>
          <w:b/>
          <w:i w:val="0"/>
          <w:color w:val="1B2430"/>
          <w:sz w:val="20"/>
        </w:rPr>
        <w:t>17.1 Tax Distributions.</w:t>
      </w:r>
      <w:r>
        <w:rPr>
          <w:rFonts w:ascii="Calibri" w:hAnsi="Calibri"/>
          <w:b w:val="0"/>
          <w:i w:val="0"/>
          <w:color w:val="1B2430"/>
          <w:sz w:val="20"/>
        </w:rPr>
        <w:t xml:space="preserve"> To the extent the Company has sufficient Available Cash, the Company shall distribute to each Member, no later than 75 days after the end of each fiscal year, an amount sufficient to enable such Member to pay estimated and final federal and state income taxes attributable to such Member's allocable share of the Company's taxable income for that fiscal year, calculated at an assumed combined rate agreed by the Members. Tax distributions are treated as advances against, and reduce, subsequent distributions otherwise payable to that Member.</w:t>
      </w:r>
    </w:p>
    <w:p>
      <w:pPr>
        <w:spacing w:after="140" w:line="276" w:lineRule="auto"/>
      </w:pPr>
      <w:r>
        <w:rPr>
          <w:rFonts w:ascii="Calibri" w:hAnsi="Calibri"/>
          <w:b/>
          <w:i w:val="0"/>
          <w:color w:val="1B2430"/>
          <w:sz w:val="20"/>
        </w:rPr>
        <w:t>17.2 Tax Classification.</w:t>
      </w:r>
      <w:r>
        <w:rPr>
          <w:rFonts w:ascii="Calibri" w:hAnsi="Calibri"/>
          <w:b w:val="0"/>
          <w:i w:val="0"/>
          <w:color w:val="1B2430"/>
          <w:sz w:val="20"/>
        </w:rPr>
        <w:t xml:space="preserve"> The Company shall be treated as a partnership for federal and applicable state income tax purposes unless the Members unanimously elect otherwise.</w:t>
      </w:r>
    </w:p>
    <w:p>
      <w:pPr>
        <w:spacing w:after="140" w:line="276" w:lineRule="auto"/>
      </w:pPr>
      <w:r>
        <w:rPr>
          <w:rFonts w:ascii="Calibri" w:hAnsi="Calibri"/>
          <w:b/>
          <w:i w:val="0"/>
          <w:color w:val="1B2430"/>
          <w:sz w:val="20"/>
        </w:rPr>
        <w:t>17.3 Partnership Representative.</w:t>
      </w:r>
      <w:r>
        <w:rPr>
          <w:rFonts w:ascii="Calibri" w:hAnsi="Calibri"/>
          <w:b w:val="0"/>
          <w:i w:val="0"/>
          <w:color w:val="1B2430"/>
          <w:sz w:val="20"/>
        </w:rPr>
        <w:t xml:space="preserve"> The Members shall designate the “partnership representative” for purposes of Section 6223 of the Internal Revenue Code by mutual written agreement. The Partnership Representative shall keep the other Members reasonably informed of, and shall not settle or resolve, any material tax audit or proceeding without the other Members' consent.</w:t>
      </w:r>
    </w:p>
    <w:p>
      <w:pPr>
        <w:spacing w:after="140" w:line="276" w:lineRule="auto"/>
      </w:pPr>
      <w:r>
        <w:rPr>
          <w:rFonts w:ascii="Calibri" w:hAnsi="Calibri"/>
          <w:b/>
          <w:i w:val="0"/>
          <w:color w:val="1B2430"/>
          <w:sz w:val="20"/>
        </w:rPr>
        <w:t>17.4 Tax Information.</w:t>
      </w:r>
      <w:r>
        <w:rPr>
          <w:rFonts w:ascii="Calibri" w:hAnsi="Calibri"/>
          <w:b w:val="0"/>
          <w:i w:val="0"/>
          <w:color w:val="1B2430"/>
          <w:sz w:val="20"/>
        </w:rPr>
        <w:t xml:space="preserve"> The Company shall furnish each Member with a Schedule K-1 and such other information as is reasonably necessary for the Member's own tax filings within 75 days after the end of each fiscal year.</w:t>
      </w:r>
    </w:p>
    <w:p>
      <w:pPr>
        <w:spacing w:before="300" w:after="120"/>
        <w:pBdr>
          <w:bottom w:val="single" w:sz="4" w:space="4" w:color="B8963E"/>
        </w:pBdr>
      </w:pPr>
      <w:r>
        <w:rPr>
          <w:rFonts w:ascii="Georgia" w:hAnsi="Georgia"/>
          <w:b/>
          <w:color w:val="0B1F3A"/>
          <w:sz w:val="24"/>
        </w:rPr>
        <w:t>18. Books, Records, and Reporting</w:t>
      </w:r>
    </w:p>
    <w:p>
      <w:pPr>
        <w:spacing w:after="140" w:line="276" w:lineRule="auto"/>
      </w:pPr>
      <w:r>
        <w:rPr>
          <w:rFonts w:ascii="Calibri" w:hAnsi="Calibri"/>
          <w:b/>
          <w:i w:val="0"/>
          <w:color w:val="1B2430"/>
          <w:sz w:val="20"/>
        </w:rPr>
        <w:t>18.1 Books and Records.</w:t>
      </w:r>
      <w:r>
        <w:rPr>
          <w:rFonts w:ascii="Calibri" w:hAnsi="Calibri"/>
          <w:b w:val="0"/>
          <w:i w:val="0"/>
          <w:color w:val="1B2430"/>
          <w:sz w:val="20"/>
        </w:rPr>
        <w:t xml:space="preserve"> The Company shall maintain complete and accurate books and records at its principal office, in accordance with GAAP consistently applied.</w:t>
      </w:r>
    </w:p>
    <w:p>
      <w:pPr>
        <w:spacing w:after="140" w:line="276" w:lineRule="auto"/>
      </w:pPr>
      <w:r>
        <w:rPr>
          <w:rFonts w:ascii="Calibri" w:hAnsi="Calibri"/>
          <w:b/>
          <w:i w:val="0"/>
          <w:color w:val="1B2430"/>
          <w:sz w:val="20"/>
        </w:rPr>
        <w:t>18.2 Inspection.</w:t>
      </w:r>
      <w:r>
        <w:rPr>
          <w:rFonts w:ascii="Calibri" w:hAnsi="Calibri"/>
          <w:b w:val="0"/>
          <w:i w:val="0"/>
          <w:color w:val="1B2430"/>
          <w:sz w:val="20"/>
        </w:rPr>
        <w:t xml:space="preserve"> Each Member may, on reasonable written notice and during normal business hours, inspect and copy the Company's books and records for any purpose reasonably related to its interest as a Member, at its own expense.</w:t>
      </w:r>
    </w:p>
    <w:p>
      <w:pPr>
        <w:spacing w:after="140" w:line="276" w:lineRule="auto"/>
      </w:pPr>
      <w:r>
        <w:rPr>
          <w:rFonts w:ascii="Calibri" w:hAnsi="Calibri"/>
          <w:b/>
          <w:i w:val="0"/>
          <w:color w:val="1B2430"/>
          <w:sz w:val="20"/>
        </w:rPr>
        <w:t>18.3 Reporting.</w:t>
      </w:r>
      <w:r>
        <w:rPr>
          <w:rFonts w:ascii="Calibri" w:hAnsi="Calibri"/>
          <w:b w:val="0"/>
          <w:i w:val="0"/>
          <w:color w:val="1B2430"/>
          <w:sz w:val="20"/>
        </w:rPr>
        <w:t xml:space="preserve"> The Manager shall deliver to each Member: (a) within 30 days after each fiscal quarter, unaudited financial statements and a brief narrative of operations; (b) within 90 days after each fiscal year, annual financial statements; and (c) prompt notice of any event that could reasonably be expected to have a material adverse effect on the Company, including any default, litigation, regulatory action, or casualty.</w:t>
      </w:r>
    </w:p>
    <w:p>
      <w:pPr>
        <w:spacing w:after="140" w:line="276" w:lineRule="auto"/>
      </w:pPr>
      <w:r>
        <w:rPr>
          <w:rFonts w:ascii="Calibri" w:hAnsi="Calibri"/>
          <w:b/>
          <w:i w:val="0"/>
          <w:color w:val="1B2430"/>
          <w:sz w:val="20"/>
        </w:rPr>
        <w:t>18.4 Tax Information.</w:t>
      </w:r>
      <w:r>
        <w:rPr>
          <w:rFonts w:ascii="Calibri" w:hAnsi="Calibri"/>
          <w:b w:val="0"/>
          <w:i w:val="0"/>
          <w:color w:val="1B2430"/>
          <w:sz w:val="20"/>
        </w:rPr>
        <w:t xml:space="preserve"> The Manager shall deliver to each Member the information necessary to prepare its tax returns, including Schedule K-1, within 75 days after the end of each fiscal year, and shall provide estimates sufficient for quarterly estimated tax payments on request.</w:t>
      </w:r>
    </w:p>
    <w:p>
      <w:pPr>
        <w:spacing w:after="140" w:line="276" w:lineRule="auto"/>
      </w:pPr>
      <w:r>
        <w:rPr>
          <w:rFonts w:ascii="Calibri" w:hAnsi="Calibri"/>
          <w:b/>
          <w:i w:val="0"/>
          <w:color w:val="1B2430"/>
          <w:sz w:val="20"/>
        </w:rPr>
        <w:t>18.5 Confidentiality.</w:t>
      </w:r>
      <w:r>
        <w:rPr>
          <w:rFonts w:ascii="Calibri" w:hAnsi="Calibri"/>
          <w:b w:val="0"/>
          <w:i w:val="0"/>
          <w:color w:val="1B2430"/>
          <w:sz w:val="20"/>
        </w:rPr>
        <w:t xml:space="preserve"> Information provided under this Section is confidential and may be used only in connection with the Member's interest in the Company.</w:t>
      </w:r>
    </w:p>
    <w:p>
      <w:pPr>
        <w:spacing w:before="300" w:after="120"/>
        <w:pBdr>
          <w:bottom w:val="single" w:sz="4" w:space="4" w:color="B8963E"/>
        </w:pBdr>
      </w:pPr>
      <w:r>
        <w:rPr>
          <w:rFonts w:ascii="Georgia" w:hAnsi="Georgia"/>
          <w:b/>
          <w:color w:val="0B1F3A"/>
          <w:sz w:val="24"/>
        </w:rPr>
        <w:t>19. Confidentiality</w:t>
      </w:r>
    </w:p>
    <w:p>
      <w:pPr>
        <w:spacing w:after="140" w:line="276" w:lineRule="auto"/>
      </w:pPr>
      <w:r>
        <w:rPr>
          <w:rFonts w:ascii="Calibri" w:hAnsi="Calibri"/>
          <w:b/>
          <w:i w:val="0"/>
          <w:color w:val="1B2430"/>
          <w:sz w:val="20"/>
        </w:rPr>
        <w:t>19.1 Definition.</w:t>
      </w:r>
      <w:r>
        <w:rPr>
          <w:rFonts w:ascii="Calibri" w:hAnsi="Calibri"/>
          <w:b w:val="0"/>
          <w:i w:val="0"/>
          <w:color w:val="1B2430"/>
          <w:sz w:val="20"/>
        </w:rPr>
        <w:t xml:space="preserve"> "Confidential Information" means non-public information disclosed by either party, in any form, that is designated confidential or that a reasonable person would understand to be confidential given its nature and the circumstances of disclosure.</w:t>
      </w:r>
    </w:p>
    <w:p>
      <w:pPr>
        <w:spacing w:after="140" w:line="276" w:lineRule="auto"/>
      </w:pPr>
      <w:r>
        <w:rPr>
          <w:rFonts w:ascii="Calibri" w:hAnsi="Calibri"/>
          <w:b/>
          <w:i w:val="0"/>
          <w:color w:val="1B2430"/>
          <w:sz w:val="20"/>
        </w:rPr>
        <w:t>19.2 Obligations.</w:t>
      </w:r>
      <w:r>
        <w:rPr>
          <w:rFonts w:ascii="Calibri" w:hAnsi="Calibri"/>
          <w:b w:val="0"/>
          <w:i w:val="0"/>
          <w:color w:val="1B2430"/>
          <w:sz w:val="20"/>
        </w:rPr>
        <w:t xml:space="preserve"> Each party shall use the other's Confidential Information solely to perform this Agreement or evaluate the transaction contemplated by it, shall protect it with at least the care it uses for its own confidential information and no less than reasonable care, and shall disclose it only to those of its personnel and advisors who need it for that purpose and who are bound by confidentiality obligations no less protective than these.</w:t>
      </w:r>
    </w:p>
    <w:p>
      <w:pPr>
        <w:spacing w:after="140" w:line="276" w:lineRule="auto"/>
      </w:pPr>
      <w:r>
        <w:rPr>
          <w:rFonts w:ascii="Calibri" w:hAnsi="Calibri"/>
          <w:b/>
          <w:i w:val="0"/>
          <w:color w:val="1B2430"/>
          <w:sz w:val="20"/>
        </w:rPr>
        <w:t>19.3 Exclusions.</w:t>
      </w:r>
      <w:r>
        <w:rPr>
          <w:rFonts w:ascii="Calibri" w:hAnsi="Calibri"/>
          <w:b w:val="0"/>
          <w:i w:val="0"/>
          <w:color w:val="1B2430"/>
          <w:sz w:val="20"/>
        </w:rPr>
        <w:t xml:space="preserve"> These obligations do not apply to information that is or becomes public through no breach of this Agreement, was rightfully known without restriction before disclosure, is rightfully received from a third party without restriction, or is independently developed without use of the disclosing party's Confidential Information.</w:t>
      </w:r>
    </w:p>
    <w:p>
      <w:pPr>
        <w:spacing w:after="140" w:line="276" w:lineRule="auto"/>
      </w:pPr>
      <w:r>
        <w:rPr>
          <w:rFonts w:ascii="Calibri" w:hAnsi="Calibri"/>
          <w:b/>
          <w:i w:val="0"/>
          <w:color w:val="1B2430"/>
          <w:sz w:val="20"/>
        </w:rPr>
        <w:t>19.4 Compelled Disclosure.</w:t>
      </w:r>
      <w:r>
        <w:rPr>
          <w:rFonts w:ascii="Calibri" w:hAnsi="Calibri"/>
          <w:b w:val="0"/>
          <w:i w:val="0"/>
          <w:color w:val="1B2430"/>
          <w:sz w:val="20"/>
        </w:rPr>
        <w:t xml:space="preserve"> A party required by law, regulation, or valid legal process to disclose Confidential Information may do so, provided it gives prompt written notice to the extent legally permitted, discloses only what is legally required, and reasonably cooperates in any effort to obtain protective treatment.</w:t>
      </w:r>
    </w:p>
    <w:p>
      <w:pPr>
        <w:spacing w:after="140" w:line="276" w:lineRule="auto"/>
      </w:pPr>
      <w:r>
        <w:rPr>
          <w:rFonts w:ascii="Calibri" w:hAnsi="Calibri"/>
          <w:b/>
          <w:i w:val="0"/>
          <w:color w:val="1B2430"/>
          <w:sz w:val="20"/>
        </w:rPr>
        <w:t>19.5 Term.</w:t>
      </w:r>
      <w:r>
        <w:rPr>
          <w:rFonts w:ascii="Calibri" w:hAnsi="Calibri"/>
          <w:b w:val="0"/>
          <w:i w:val="0"/>
          <w:color w:val="1B2430"/>
          <w:sz w:val="20"/>
        </w:rPr>
        <w:t xml:space="preserve"> These obligations continue for 5 years after disclosure, and, for anything constituting a trade secret, for as long as it remains a trade secret under applicable law.</w:t>
      </w:r>
    </w:p>
    <w:p>
      <w:pPr>
        <w:spacing w:after="140" w:line="276" w:lineRule="auto"/>
      </w:pPr>
      <w:r>
        <w:rPr>
          <w:rFonts w:ascii="Calibri" w:hAnsi="Calibri"/>
          <w:b/>
          <w:i w:val="0"/>
          <w:color w:val="1B2430"/>
          <w:sz w:val="20"/>
        </w:rPr>
        <w:t>19.6 Return.</w:t>
      </w:r>
      <w:r>
        <w:rPr>
          <w:rFonts w:ascii="Calibri" w:hAnsi="Calibri"/>
          <w:b w:val="0"/>
          <w:i w:val="0"/>
          <w:color w:val="1B2430"/>
          <w:sz w:val="20"/>
        </w:rPr>
        <w:t xml:space="preserve"> On written request following termination, each party shall return or destroy the other's Confidential Information, except for copies retained in routine backups or as required by law or professional obligation, which remain subject to this Section.</w:t>
      </w:r>
    </w:p>
    <w:p>
      <w:pPr>
        <w:spacing w:before="300" w:after="120"/>
        <w:pBdr>
          <w:bottom w:val="single" w:sz="4" w:space="4" w:color="B8963E"/>
        </w:pBdr>
      </w:pPr>
      <w:r>
        <w:rPr>
          <w:rFonts w:ascii="Georgia" w:hAnsi="Georgia"/>
          <w:b/>
          <w:color w:val="0B1F3A"/>
          <w:sz w:val="24"/>
        </w:rPr>
        <w:t>20. Work Product and Intellectual Property</w:t>
      </w:r>
    </w:p>
    <w:p>
      <w:pPr>
        <w:spacing w:after="140" w:line="276" w:lineRule="auto"/>
      </w:pPr>
      <w:r>
        <w:rPr>
          <w:rFonts w:ascii="Calibri" w:hAnsi="Calibri"/>
          <w:b/>
          <w:i w:val="0"/>
          <w:color w:val="1B2430"/>
          <w:sz w:val="20"/>
        </w:rPr>
        <w:t>20.1 Ownership.</w:t>
      </w:r>
      <w:r>
        <w:rPr>
          <w:rFonts w:ascii="Calibri" w:hAnsi="Calibri"/>
          <w:b w:val="0"/>
          <w:i w:val="0"/>
          <w:color w:val="1B2430"/>
          <w:sz w:val="20"/>
        </w:rPr>
        <w:t xml:space="preserve"> All frameworks, deal structures, financial models, governance templates, methodologies, software, written materials, and other work product developed by a Member in connection with the Company's business is owned by the Company.</w:t>
      </w:r>
    </w:p>
    <w:p>
      <w:pPr>
        <w:spacing w:after="140" w:line="276" w:lineRule="auto"/>
      </w:pPr>
      <w:r>
        <w:rPr>
          <w:rFonts w:ascii="Calibri" w:hAnsi="Calibri"/>
          <w:b/>
          <w:i w:val="0"/>
          <w:color w:val="1B2430"/>
          <w:sz w:val="20"/>
        </w:rPr>
        <w:t>20.2 Present Assignment.</w:t>
      </w:r>
      <w:r>
        <w:rPr>
          <w:rFonts w:ascii="Calibri" w:hAnsi="Calibri"/>
          <w:b w:val="0"/>
          <w:i w:val="0"/>
          <w:color w:val="1B2430"/>
          <w:sz w:val="20"/>
        </w:rPr>
        <w:t xml:space="preserve"> Each Member hereby assigns to the Company all right, title, and interest in and to such work product, including all intellectual property rights therein, effective upon creation.</w:t>
      </w:r>
    </w:p>
    <w:p>
      <w:pPr>
        <w:spacing w:after="140" w:line="276" w:lineRule="auto"/>
      </w:pPr>
      <w:r>
        <w:rPr>
          <w:rFonts w:ascii="Calibri" w:hAnsi="Calibri"/>
          <w:b/>
          <w:i w:val="0"/>
          <w:color w:val="1B2430"/>
          <w:sz w:val="20"/>
        </w:rPr>
        <w:t>20.3 Further Assurances.</w:t>
      </w:r>
      <w:r>
        <w:rPr>
          <w:rFonts w:ascii="Calibri" w:hAnsi="Calibri"/>
          <w:b w:val="0"/>
          <w:i w:val="0"/>
          <w:color w:val="1B2430"/>
          <w:sz w:val="20"/>
        </w:rPr>
        <w:t xml:space="preserve"> Each Member shall execute such documents and take such further actions as are reasonably necessary to perfect, record, and enforce the Company's ownership under this Section.</w:t>
      </w:r>
    </w:p>
    <w:p>
      <w:pPr>
        <w:spacing w:after="140" w:line="276" w:lineRule="auto"/>
      </w:pPr>
      <w:r>
        <w:rPr>
          <w:rFonts w:ascii="Calibri" w:hAnsi="Calibri"/>
          <w:b/>
          <w:i w:val="0"/>
          <w:color w:val="1B2430"/>
          <w:sz w:val="20"/>
        </w:rPr>
        <w:t>20.4 Pre-Existing Materials.</w:t>
      </w:r>
      <w:r>
        <w:rPr>
          <w:rFonts w:ascii="Calibri" w:hAnsi="Calibri"/>
          <w:b w:val="0"/>
          <w:i w:val="0"/>
          <w:color w:val="1B2430"/>
          <w:sz w:val="20"/>
        </w:rPr>
        <w:t xml:space="preserve"> Materials owned by a Member prior to the Effective Date, and identified in writing to the other Members, are not assigned under this Section; the assigning Member grants the Company a non-exclusive, perpetual, royalty-free licence to use such materials in the conduct of the Company's business.</w:t>
      </w:r>
    </w:p>
    <w:p>
      <w:pPr>
        <w:spacing w:before="300" w:after="120"/>
        <w:pBdr>
          <w:bottom w:val="single" w:sz="4" w:space="4" w:color="B8963E"/>
        </w:pBdr>
      </w:pPr>
      <w:r>
        <w:rPr>
          <w:rFonts w:ascii="Georgia" w:hAnsi="Georgia"/>
          <w:b/>
          <w:color w:val="0B1F3A"/>
          <w:sz w:val="24"/>
        </w:rPr>
        <w:t>21. Confidentiality and Post-Departure Terms</w:t>
      </w:r>
    </w:p>
    <w:p>
      <w:pPr>
        <w:spacing w:after="140" w:line="276" w:lineRule="auto"/>
      </w:pPr>
      <w:r>
        <w:rPr>
          <w:rFonts w:ascii="Calibri" w:hAnsi="Calibri"/>
          <w:b/>
          <w:i w:val="0"/>
          <w:color w:val="1B2430"/>
          <w:sz w:val="20"/>
        </w:rPr>
        <w:t>21. Confidentiality.</w:t>
      </w:r>
      <w:r>
        <w:rPr>
          <w:rFonts w:ascii="Calibri" w:hAnsi="Calibri"/>
          <w:b w:val="0"/>
          <w:i w:val="0"/>
          <w:color w:val="1B2430"/>
          <w:sz w:val="20"/>
        </w:rPr>
        <w:t xml:space="preserve"> Each Member must protect non-public Company information and may use it only for Company purposes. No non-competition or non-solicitation restriction is created by this synthetic fixture; jurisdiction-specific restrictions, if approved, must be drafted by qualified counsel.</w:t>
      </w:r>
    </w:p>
    <w:p>
      <w:pPr>
        <w:spacing w:before="300" w:after="120"/>
        <w:pBdr>
          <w:bottom w:val="single" w:sz="4" w:space="4" w:color="B8963E"/>
        </w:pBdr>
      </w:pPr>
      <w:r>
        <w:rPr>
          <w:rFonts w:ascii="Georgia" w:hAnsi="Georgia"/>
          <w:b/>
          <w:color w:val="0B1F3A"/>
          <w:sz w:val="24"/>
        </w:rPr>
        <w:t>22. Dissolution and Winding Up</w:t>
      </w:r>
    </w:p>
    <w:p>
      <w:pPr>
        <w:spacing w:after="140" w:line="276" w:lineRule="auto"/>
      </w:pPr>
      <w:r>
        <w:rPr>
          <w:rFonts w:ascii="Calibri" w:hAnsi="Calibri"/>
          <w:b/>
          <w:i w:val="0"/>
          <w:color w:val="1B2430"/>
          <w:sz w:val="20"/>
        </w:rPr>
        <w:t>22.1 Dissolution.</w:t>
      </w:r>
      <w:r>
        <w:rPr>
          <w:rFonts w:ascii="Calibri" w:hAnsi="Calibri"/>
          <w:b w:val="0"/>
          <w:i w:val="0"/>
          <w:color w:val="1B2430"/>
          <w:sz w:val="20"/>
        </w:rPr>
        <w:t xml:space="preserve"> The Company dissolves on the first to occur of: the Approval of the Members; the sale of all or substantially all of the Company's assets and the distribution of the proceeds; or an event requiring dissolution under the applicable synthetic entity statute placeholder.</w:t>
      </w:r>
    </w:p>
    <w:p>
      <w:pPr>
        <w:spacing w:after="140" w:line="276" w:lineRule="auto"/>
      </w:pPr>
      <w:r>
        <w:rPr>
          <w:rFonts w:ascii="Calibri" w:hAnsi="Calibri"/>
          <w:b/>
          <w:i w:val="0"/>
          <w:color w:val="1B2430"/>
          <w:sz w:val="20"/>
        </w:rPr>
        <w:t>22.2 Winding Up.</w:t>
      </w:r>
      <w:r>
        <w:rPr>
          <w:rFonts w:ascii="Calibri" w:hAnsi="Calibri"/>
          <w:b w:val="0"/>
          <w:i w:val="0"/>
          <w:color w:val="1B2430"/>
          <w:sz w:val="20"/>
        </w:rPr>
        <w:t xml:space="preserve"> On dissolution, the Manager shall wind up the Company's affairs, liquidate its assets in an orderly manner, and apply the proceeds in the following order: (a) to creditors of the Company, including Members who are creditors, other than in respect of distributions; (b) to reserves reasonably necessary for contingent liabilities; and (c) to the Members in accordance with the Distributions Section.</w:t>
      </w:r>
    </w:p>
    <w:p>
      <w:pPr>
        <w:spacing w:after="140" w:line="276" w:lineRule="auto"/>
      </w:pPr>
      <w:r>
        <w:rPr>
          <w:rFonts w:ascii="Calibri" w:hAnsi="Calibri"/>
          <w:b/>
          <w:i w:val="0"/>
          <w:color w:val="1B2430"/>
          <w:sz w:val="20"/>
        </w:rPr>
        <w:t>22.3 No Deficit Restoration.</w:t>
      </w:r>
      <w:r>
        <w:rPr>
          <w:rFonts w:ascii="Calibri" w:hAnsi="Calibri"/>
          <w:b w:val="0"/>
          <w:i w:val="0"/>
          <w:color w:val="1B2430"/>
          <w:sz w:val="20"/>
        </w:rPr>
        <w:t xml:space="preserve"> No Member is obligated to restore a deficit balance in its capital account.</w:t>
      </w:r>
    </w:p>
    <w:p>
      <w:pPr>
        <w:spacing w:after="140" w:line="276" w:lineRule="auto"/>
      </w:pPr>
      <w:r>
        <w:rPr>
          <w:rFonts w:ascii="Calibri" w:hAnsi="Calibri"/>
          <w:b/>
          <w:i w:val="0"/>
          <w:color w:val="1B2430"/>
          <w:sz w:val="20"/>
        </w:rPr>
        <w:t>22.4 Termination.</w:t>
      </w:r>
      <w:r>
        <w:rPr>
          <w:rFonts w:ascii="Calibri" w:hAnsi="Calibri"/>
          <w:b w:val="0"/>
          <w:i w:val="0"/>
          <w:color w:val="1B2430"/>
          <w:sz w:val="20"/>
        </w:rPr>
        <w:t xml:space="preserve"> The Company terminates when all assets have been distributed and a certificate of cancellation has been filed.</w:t>
      </w:r>
    </w:p>
    <w:p>
      <w:pPr>
        <w:spacing w:before="300" w:after="120"/>
        <w:pBdr>
          <w:bottom w:val="single" w:sz="4" w:space="4" w:color="B8963E"/>
        </w:pBdr>
      </w:pPr>
      <w:r>
        <w:rPr>
          <w:rFonts w:ascii="Georgia" w:hAnsi="Georgia"/>
          <w:b/>
          <w:color w:val="0B1F3A"/>
          <w:sz w:val="24"/>
        </w:rPr>
        <w:t>23. Governing Law and Dispute Resolution</w:t>
      </w:r>
    </w:p>
    <w:p>
      <w:pPr>
        <w:spacing w:after="140" w:line="276" w:lineRule="auto"/>
      </w:pPr>
      <w:r>
        <w:rPr>
          <w:rFonts w:ascii="Calibri" w:hAnsi="Calibri"/>
          <w:b/>
          <w:i w:val="0"/>
          <w:color w:val="1B2430"/>
          <w:sz w:val="20"/>
        </w:rPr>
        <w:t>23.1 Governing Law.</w:t>
      </w:r>
      <w:r>
        <w:rPr>
          <w:rFonts w:ascii="Calibri" w:hAnsi="Calibri"/>
          <w:b w:val="0"/>
          <w:i w:val="0"/>
          <w:color w:val="1B2430"/>
          <w:sz w:val="20"/>
        </w:rPr>
        <w:t xml:space="preserve"> This Agreement is governed by the laws of the State of Texas, without regard to its conflict of laws principles.</w:t>
      </w:r>
    </w:p>
    <w:p>
      <w:pPr>
        <w:spacing w:after="140" w:line="276" w:lineRule="auto"/>
      </w:pPr>
      <w:r>
        <w:rPr>
          <w:rFonts w:ascii="Calibri" w:hAnsi="Calibri"/>
          <w:b/>
          <w:i w:val="0"/>
          <w:color w:val="1B2430"/>
          <w:sz w:val="20"/>
        </w:rPr>
        <w:t>23.2 Escalation.</w:t>
      </w:r>
      <w:r>
        <w:rPr>
          <w:rFonts w:ascii="Calibri" w:hAnsi="Calibri"/>
          <w:b w:val="0"/>
          <w:i w:val="0"/>
          <w:color w:val="1B2430"/>
          <w:sz w:val="20"/>
        </w:rPr>
        <w:t xml:space="preserve"> Before commencing any proceeding, the parties shall attempt in good faith to resolve the dispute through direct negotiation between senior representatives for thirty (30) days, and, if unresolved, through non-binding mediation for a further thirty (30) days.</w:t>
      </w:r>
    </w:p>
    <w:p>
      <w:pPr>
        <w:spacing w:after="140" w:line="276" w:lineRule="auto"/>
      </w:pPr>
      <w:r>
        <w:rPr>
          <w:rFonts w:ascii="Calibri" w:hAnsi="Calibri"/>
          <w:b/>
          <w:i w:val="0"/>
          <w:color w:val="1B2430"/>
          <w:sz w:val="20"/>
        </w:rPr>
        <w:t>23.3 Arbitration.</w:t>
      </w:r>
      <w:r>
        <w:rPr>
          <w:rFonts w:ascii="Calibri" w:hAnsi="Calibri"/>
          <w:b w:val="0"/>
          <w:i w:val="0"/>
          <w:color w:val="1B2430"/>
          <w:sz w:val="20"/>
        </w:rPr>
        <w:t xml:space="preserve"> Any dispute not resolved under Section 23.2 shall be finally resolved by binding arbitration before a single arbitrator under the rules of JAMS, seated in the State of Texas. Judgment on the award may be entered in any court of competent jurisdiction.</w:t>
      </w:r>
    </w:p>
    <w:p>
      <w:pPr>
        <w:spacing w:after="140" w:line="276" w:lineRule="auto"/>
      </w:pPr>
      <w:r>
        <w:rPr>
          <w:rFonts w:ascii="Calibri" w:hAnsi="Calibri"/>
          <w:b/>
          <w:i w:val="0"/>
          <w:color w:val="1B2430"/>
          <w:sz w:val="20"/>
        </w:rPr>
        <w:t>23.4 Exceptions.</w:t>
      </w:r>
      <w:r>
        <w:rPr>
          <w:rFonts w:ascii="Calibri" w:hAnsi="Calibri"/>
          <w:b w:val="0"/>
          <w:i w:val="0"/>
          <w:color w:val="1B2430"/>
          <w:sz w:val="20"/>
        </w:rPr>
        <w:t xml:space="preserve"> Either party may seek injunctive or other equitable relief in a court of competent jurisdiction to protect its Confidential Information or intellectual property, and either party may bring a claim in small-claims court where the claim qualifies.</w:t>
      </w:r>
    </w:p>
    <w:p>
      <w:pPr>
        <w:spacing w:after="140" w:line="276" w:lineRule="auto"/>
      </w:pPr>
      <w:r>
        <w:rPr>
          <w:rFonts w:ascii="Calibri" w:hAnsi="Calibri"/>
          <w:b/>
          <w:i w:val="0"/>
          <w:color w:val="1B2430"/>
          <w:sz w:val="20"/>
        </w:rPr>
        <w:t>23.5 Fees.</w:t>
      </w:r>
      <w:r>
        <w:rPr>
          <w:rFonts w:ascii="Calibri" w:hAnsi="Calibri"/>
          <w:b w:val="0"/>
          <w:i w:val="0"/>
          <w:color w:val="1B2430"/>
          <w:sz w:val="20"/>
        </w:rPr>
        <w:t xml:space="preserve"> The prevailing party in any proceeding is entitled to recover its reasonable attorneys' fees and costs.</w:t>
      </w:r>
    </w:p>
    <w:p>
      <w:pPr>
        <w:spacing w:after="140" w:line="276" w:lineRule="auto"/>
      </w:pPr>
      <w:r>
        <w:rPr>
          <w:rFonts w:ascii="Calibri" w:hAnsi="Calibri"/>
          <w:b/>
          <w:i w:val="0"/>
          <w:color w:val="1B2430"/>
          <w:sz w:val="20"/>
        </w:rPr>
        <w:t>23.6 Confidentiality of Proceedings.</w:t>
      </w:r>
      <w:r>
        <w:rPr>
          <w:rFonts w:ascii="Calibri" w:hAnsi="Calibri"/>
          <w:b w:val="0"/>
          <w:i w:val="0"/>
          <w:color w:val="1B2430"/>
          <w:sz w:val="20"/>
        </w:rPr>
        <w:t xml:space="preserve"> The existence and content of any proceeding under this Section are Confidential Information.</w:t>
      </w:r>
    </w:p>
    <w:p>
      <w:pPr>
        <w:pBdr>
          <w:bottom w:val="single" w:sz="6" w:space="4" w:color="B8963E"/>
        </w:pBdr>
      </w:pPr>
    </w:p>
    <w:p>
      <w:pPr>
        <w:spacing w:before="300" w:after="120"/>
        <w:pBdr>
          <w:bottom w:val="single" w:sz="4" w:space="4" w:color="B8963E"/>
        </w:pBdr>
      </w:pPr>
      <w:r>
        <w:rPr>
          <w:rFonts w:ascii="Georgia" w:hAnsi="Georgia"/>
          <w:b/>
          <w:color w:val="0B1F3A"/>
          <w:sz w:val="24"/>
        </w:rPr>
        <w:t>Schedule A — Members, Capital Contributions, and Units</w:t>
      </w:r>
    </w:p>
    <w:tbl>
      <w:tblPr>
        <w:tblStyle w:val="TableGrid"/>
        <w:tblW w:type="auto" w:w="0"/>
        <w:jc w:val="center"/>
        <w:tblLayout w:type="fixed"/>
        <w:tblLook w:firstColumn="1" w:firstRow="1" w:lastColumn="0" w:lastRow="0" w:noHBand="0" w:noVBand="1" w:val="04A0"/>
      </w:tblPr>
      <w:tblGrid>
        <w:gridCol w:w="5365"/>
        <w:gridCol w:w="3252"/>
        <w:gridCol w:w="1463"/>
      </w:tblGrid>
      <w:tr>
        <w:tc>
          <w:tcPr>
            <w:tcW w:type="dxa" w:w="5365"/>
            <w:vAlign w:val="center"/>
            <w:shd w:fill="0B1F3A"/>
          </w:tcPr>
          <w:p>
            <w:r>
              <w:rPr>
                <w:rFonts w:ascii="Calibri" w:hAnsi="Calibri"/>
                <w:b/>
                <w:i w:val="0"/>
                <w:color w:val="FFFFFF"/>
                <w:sz w:val="19"/>
              </w:rPr>
              <w:t>Member</w:t>
            </w:r>
          </w:p>
        </w:tc>
        <w:tc>
          <w:tcPr>
            <w:tcW w:type="dxa" w:w="3252"/>
            <w:vAlign w:val="center"/>
            <w:shd w:fill="0B1F3A"/>
          </w:tcPr>
          <w:p>
            <w:r>
              <w:rPr>
                <w:rFonts w:ascii="Calibri" w:hAnsi="Calibri"/>
                <w:b/>
                <w:i w:val="0"/>
                <w:color w:val="FFFFFF"/>
                <w:sz w:val="19"/>
              </w:rPr>
              <w:t>Capital Contribution</w:t>
            </w:r>
          </w:p>
        </w:tc>
        <w:tc>
          <w:tcPr>
            <w:tcW w:type="dxa" w:w="1463"/>
            <w:vAlign w:val="center"/>
            <w:shd w:fill="0B1F3A"/>
          </w:tcPr>
          <w:p>
            <w:r>
              <w:rPr>
                <w:rFonts w:ascii="Calibri" w:hAnsi="Calibri"/>
                <w:b/>
                <w:i w:val="0"/>
                <w:color w:val="FFFFFF"/>
                <w:sz w:val="19"/>
              </w:rPr>
              <w:t>Units</w:t>
            </w:r>
          </w:p>
        </w:tc>
      </w:tr>
      <w:tr>
        <w:tc>
          <w:tcPr>
            <w:tcW w:type="dxa" w:w="5365"/>
            <w:vAlign w:val="center"/>
          </w:tcPr>
          <w:p>
            <w:r>
              <w:rPr>
                <w:rFonts w:ascii="Calibri" w:hAnsi="Calibri"/>
                <w:b w:val="0"/>
                <w:i w:val="0"/>
                <w:color w:val="1B2430"/>
                <w:sz w:val="19"/>
              </w:rPr>
              <w:t>Northstar Sponsor LLC (Synthetic)</w:t>
            </w:r>
          </w:p>
        </w:tc>
        <w:tc>
          <w:tcPr>
            <w:tcW w:type="dxa" w:w="3252"/>
            <w:vAlign w:val="center"/>
          </w:tcPr>
          <w:p>
            <w:r>
              <w:rPr>
                <w:rFonts w:ascii="Calibri" w:hAnsi="Calibri"/>
                <w:b w:val="0"/>
                <w:i w:val="0"/>
                <w:color w:val="1B2430"/>
                <w:sz w:val="19"/>
              </w:rPr>
              <w:t>$1,500,000</w:t>
            </w:r>
          </w:p>
        </w:tc>
        <w:tc>
          <w:tcPr>
            <w:tcW w:type="dxa" w:w="1463"/>
            <w:vAlign w:val="center"/>
          </w:tcPr>
          <w:p>
            <w:r>
              <w:rPr>
                <w:rFonts w:ascii="Calibri" w:hAnsi="Calibri"/>
                <w:b w:val="0"/>
                <w:i w:val="0"/>
                <w:color w:val="1B2430"/>
                <w:sz w:val="19"/>
              </w:rPr>
              <w:t>1,500</w:t>
            </w:r>
          </w:p>
        </w:tc>
      </w:tr>
      <w:tr>
        <w:tc>
          <w:tcPr>
            <w:tcW w:type="dxa" w:w="5365"/>
            <w:vAlign w:val="center"/>
          </w:tcPr>
          <w:p>
            <w:r>
              <w:rPr>
                <w:rFonts w:ascii="Calibri" w:hAnsi="Calibri"/>
                <w:b w:val="0"/>
                <w:i w:val="0"/>
                <w:color w:val="1B2430"/>
                <w:sz w:val="19"/>
              </w:rPr>
              <w:t>Cedar Capital LLC (Synthetic)</w:t>
            </w:r>
          </w:p>
        </w:tc>
        <w:tc>
          <w:tcPr>
            <w:tcW w:type="dxa" w:w="3252"/>
            <w:vAlign w:val="center"/>
          </w:tcPr>
          <w:p>
            <w:r>
              <w:rPr>
                <w:rFonts w:ascii="Calibri" w:hAnsi="Calibri"/>
                <w:b w:val="0"/>
                <w:i w:val="0"/>
                <w:color w:val="1B2430"/>
                <w:sz w:val="19"/>
              </w:rPr>
              <w:t>$1,500,000</w:t>
            </w:r>
          </w:p>
        </w:tc>
        <w:tc>
          <w:tcPr>
            <w:tcW w:type="dxa" w:w="1463"/>
            <w:vAlign w:val="center"/>
          </w:tcPr>
          <w:p>
            <w:r>
              <w:rPr>
                <w:rFonts w:ascii="Calibri" w:hAnsi="Calibri"/>
                <w:b w:val="0"/>
                <w:i w:val="0"/>
                <w:color w:val="1B2430"/>
                <w:sz w:val="19"/>
              </w:rPr>
              <w:t>1,500</w:t>
            </w:r>
          </w:p>
        </w:tc>
      </w:tr>
      <w:tr>
        <w:tc>
          <w:tcPr>
            <w:tcW w:type="dxa" w:w="5365"/>
            <w:vAlign w:val="center"/>
          </w:tcPr>
          <w:p>
            <w:r>
              <w:rPr>
                <w:rFonts w:ascii="Calibri" w:hAnsi="Calibri"/>
                <w:b w:val="0"/>
                <w:i w:val="0"/>
                <w:color w:val="1B2430"/>
                <w:sz w:val="19"/>
              </w:rPr>
              <w:t>Total</w:t>
            </w:r>
          </w:p>
        </w:tc>
        <w:tc>
          <w:tcPr>
            <w:tcW w:type="dxa" w:w="3252"/>
            <w:vAlign w:val="center"/>
          </w:tcPr>
          <w:p>
            <w:r>
              <w:rPr>
                <w:rFonts w:ascii="Calibri" w:hAnsi="Calibri"/>
                <w:b w:val="0"/>
                <w:i w:val="0"/>
                <w:color w:val="1B2430"/>
                <w:sz w:val="19"/>
              </w:rPr>
              <w:t>$3,000,000</w:t>
            </w:r>
          </w:p>
        </w:tc>
        <w:tc>
          <w:tcPr>
            <w:tcW w:type="dxa" w:w="1463"/>
            <w:vAlign w:val="center"/>
          </w:tcPr>
          <w:p>
            <w:r>
              <w:rPr>
                <w:rFonts w:ascii="Calibri" w:hAnsi="Calibri"/>
                <w:b w:val="0"/>
                <w:i w:val="0"/>
                <w:color w:val="1B2430"/>
                <w:sz w:val="19"/>
              </w:rPr>
              <w:t>3,000</w:t>
            </w:r>
          </w:p>
        </w:tc>
      </w:tr>
    </w:tbl>
    <w:p>
      <w:pPr>
        <w:spacing w:after="80"/>
      </w:pPr>
    </w:p>
    <w:p>
      <w:pPr>
        <w:pBdr>
          <w:bottom w:val="single" w:sz="6" w:space="4" w:color="B8963E"/>
        </w:pBdr>
      </w:pPr>
    </w:p>
    <w:p>
      <w:pPr>
        <w:spacing w:before="300" w:after="120"/>
        <w:pBdr>
          <w:bottom w:val="single" w:sz="4" w:space="4" w:color="B8963E"/>
        </w:pBdr>
      </w:pPr>
      <w:r>
        <w:rPr>
          <w:rFonts w:ascii="Georgia" w:hAnsi="Georgia"/>
          <w:b/>
          <w:color w:val="0B1F3A"/>
          <w:sz w:val="24"/>
        </w:rPr>
        <w:t>Signatures</w:t>
      </w:r>
    </w:p>
    <w:p>
      <w:pPr>
        <w:spacing w:after="140" w:line="276" w:lineRule="auto"/>
      </w:pPr>
      <w:r>
        <w:rPr>
          <w:rFonts w:ascii="Calibri" w:hAnsi="Calibri"/>
          <w:b w:val="0"/>
          <w:i w:val="0"/>
          <w:color w:val="1B2430"/>
          <w:sz w:val="20"/>
        </w:rPr>
        <w:t>The parties execute this Agreement as of the Effective Date.</w:t>
      </w:r>
    </w:p>
    <w:p>
      <w:pPr>
        <w:spacing w:after="140" w:line="276" w:lineRule="auto"/>
      </w:pPr>
      <w:r>
        <w:rPr>
          <w:rFonts w:ascii="Calibri" w:hAnsi="Calibri"/>
          <w:b/>
          <w:i w:val="0"/>
          <w:color w:val="1B2430"/>
          <w:sz w:val="20"/>
        </w:rPr>
        <w:t>Northstar Sponsor LLC (Synthetic)</w:t>
      </w:r>
    </w:p>
    <w:p>
      <w:pPr>
        <w:spacing w:after="140" w:line="276" w:lineRule="auto"/>
      </w:pPr>
      <w:r>
        <w:rPr>
          <w:rFonts w:ascii="Calibri" w:hAnsi="Calibri"/>
          <w:b w:val="0"/>
          <w:i w:val="0"/>
          <w:color w:val="1B2430"/>
          <w:sz w:val="20"/>
        </w:rPr>
        <w:t>By: ______________________________</w:t>
      </w:r>
    </w:p>
    <w:p>
      <w:pPr>
        <w:spacing w:after="140" w:line="276" w:lineRule="auto"/>
      </w:pPr>
      <w:r>
        <w:rPr>
          <w:rFonts w:ascii="Calibri" w:hAnsi="Calibri"/>
          <w:b w:val="0"/>
          <w:i w:val="0"/>
          <w:color w:val="1B2430"/>
          <w:sz w:val="20"/>
        </w:rPr>
        <w:t>Name: Avery Quinn</w:t>
      </w:r>
    </w:p>
    <w:p>
      <w:pPr>
        <w:spacing w:after="140" w:line="276" w:lineRule="auto"/>
      </w:pPr>
      <w:r>
        <w:rPr>
          <w:rFonts w:ascii="Calibri" w:hAnsi="Calibri"/>
          <w:b w:val="0"/>
          <w:i w:val="0"/>
          <w:color w:val="1B2430"/>
          <w:sz w:val="20"/>
        </w:rPr>
        <w:t>Title: Managing Member</w:t>
      </w:r>
    </w:p>
    <w:p>
      <w:pPr>
        <w:spacing w:after="140" w:line="276" w:lineRule="auto"/>
      </w:pPr>
      <w:r>
        <w:rPr>
          <w:rFonts w:ascii="Calibri" w:hAnsi="Calibri"/>
          <w:b w:val="0"/>
          <w:i w:val="0"/>
          <w:color w:val="1B2430"/>
          <w:sz w:val="20"/>
        </w:rPr>
        <w:t>Date: ______________________________</w:t>
      </w:r>
    </w:p>
    <w:p>
      <w:pPr>
        <w:spacing w:after="140" w:line="276" w:lineRule="auto"/>
      </w:pPr>
      <w:r>
        <w:rPr>
          <w:rFonts w:ascii="Calibri" w:hAnsi="Calibri"/>
          <w:b/>
          <w:i w:val="0"/>
          <w:color w:val="1B2430"/>
          <w:sz w:val="20"/>
        </w:rPr>
        <w:t>Cedar Capital LLC (Synthetic)</w:t>
      </w:r>
    </w:p>
    <w:p>
      <w:pPr>
        <w:spacing w:after="140" w:line="276" w:lineRule="auto"/>
      </w:pPr>
      <w:r>
        <w:rPr>
          <w:rFonts w:ascii="Calibri" w:hAnsi="Calibri"/>
          <w:b w:val="0"/>
          <w:i w:val="0"/>
          <w:color w:val="1B2430"/>
          <w:sz w:val="20"/>
        </w:rPr>
        <w:t>By: ______________________________</w:t>
      </w:r>
    </w:p>
    <w:p>
      <w:pPr>
        <w:spacing w:after="140" w:line="276" w:lineRule="auto"/>
      </w:pPr>
      <w:r>
        <w:rPr>
          <w:rFonts w:ascii="Calibri" w:hAnsi="Calibri"/>
          <w:b w:val="0"/>
          <w:i w:val="0"/>
          <w:color w:val="1B2430"/>
          <w:sz w:val="20"/>
        </w:rPr>
        <w:t>Name: Jordan Rivera</w:t>
      </w:r>
    </w:p>
    <w:p>
      <w:pPr>
        <w:spacing w:after="140" w:line="276" w:lineRule="auto"/>
      </w:pPr>
      <w:r>
        <w:rPr>
          <w:rFonts w:ascii="Calibri" w:hAnsi="Calibri"/>
          <w:b w:val="0"/>
          <w:i w:val="0"/>
          <w:color w:val="1B2430"/>
          <w:sz w:val="20"/>
        </w:rPr>
        <w:t>Title: Manager</w:t>
      </w:r>
    </w:p>
    <w:p>
      <w:pPr>
        <w:spacing w:after="140" w:line="276" w:lineRule="auto"/>
      </w:pPr>
      <w:r>
        <w:rPr>
          <w:rFonts w:ascii="Calibri" w:hAnsi="Calibri"/>
          <w:b w:val="0"/>
          <w:i w:val="0"/>
          <w:color w:val="1B2430"/>
          <w:sz w:val="20"/>
        </w:rPr>
        <w:t>Date: ______________________________</w:t>
      </w:r>
    </w:p>
    <w:p>
      <w:pPr>
        <w:pBdr>
          <w:bottom w:val="single" w:sz="6" w:space="4" w:color="B8963E"/>
        </w:pBdr>
      </w:pPr>
    </w:p>
    <w:p>
      <w:pPr>
        <w:spacing w:before="300" w:after="120"/>
        <w:pBdr>
          <w:bottom w:val="single" w:sz="4" w:space="4" w:color="B8963E"/>
        </w:pBdr>
      </w:pPr>
      <w:r>
        <w:rPr>
          <w:rFonts w:ascii="Georgia" w:hAnsi="Georgia"/>
          <w:b/>
          <w:color w:val="0B1F3A"/>
          <w:sz w:val="24"/>
        </w:rPr>
        <w:t>Counsel review checklist</w:t>
      </w:r>
    </w:p>
    <w:p>
      <w:pPr>
        <w:pStyle w:val="ListBullet"/>
        <w:spacing w:after="80"/>
      </w:pPr>
      <w:r>
        <w:rPr>
          <w:rFonts w:ascii="Calibri" w:hAnsi="Calibri"/>
          <w:b w:val="0"/>
          <w:i w:val="0"/>
          <w:color w:val="1B2430"/>
          <w:sz w:val="20"/>
        </w:rPr>
        <w:t>Purpose and Powers: Confirm the stated purpose is broad enough for the intended business but narrow enough to be meaningful, and that it does not conflict with any licence condition.</w:t>
      </w:r>
    </w:p>
    <w:p>
      <w:pPr>
        <w:pStyle w:val="ListBullet"/>
        <w:spacing w:after="80"/>
      </w:pPr>
      <w:r>
        <w:rPr>
          <w:rFonts w:ascii="Calibri" w:hAnsi="Calibri"/>
          <w:b w:val="0"/>
          <w:i w:val="0"/>
          <w:color w:val="1B2430"/>
          <w:sz w:val="20"/>
        </w:rPr>
        <w:t>Capital Contributions: Confirm the agreed values on Schedule A, particularly for any contribution of property or services -- a services contribution is taxable to the contributor on receipt unless structured as a profits interest. Confirm the capital account provisions against the allocation section so the allocations have substantial economic effect.</w:t>
      </w:r>
    </w:p>
    <w:p>
      <w:pPr>
        <w:pStyle w:val="ListBullet"/>
        <w:spacing w:after="80"/>
      </w:pPr>
      <w:r>
        <w:rPr>
          <w:rFonts w:ascii="Calibri" w:hAnsi="Calibri"/>
          <w:b w:val="0"/>
          <w:i w:val="0"/>
          <w:color w:val="1B2430"/>
          <w:sz w:val="20"/>
        </w:rPr>
        <w:t>Additional Capital and Funding Shortfalls: Draft the actual notice, cure, loan, dilution, and enforcement mechanics from approved deal terms.</w:t>
      </w:r>
    </w:p>
    <w:p>
      <w:pPr>
        <w:pStyle w:val="ListBullet"/>
        <w:spacing w:after="80"/>
      </w:pPr>
      <w:r>
        <w:rPr>
          <w:rFonts w:ascii="Calibri" w:hAnsi="Calibri"/>
          <w:b w:val="0"/>
          <w:i w:val="0"/>
          <w:color w:val="1B2430"/>
          <w:sz w:val="20"/>
        </w:rPr>
        <w:t>Distributions: MANDATORY tax review: confirm the waterfall, the catch-up, the promote, and the tax-distribution provision are consistent with the intended tax treatment and the allocation provisions. Confirm whether the catch-up is intended to be full or partial — this is where most of the negotiation actually sits and the drafting above states a full catch-up. Confirm whether the waterfall runs deal-by-deal or across the whole venture, which decides whether the clawback is ever reachable. Run the waterfall on at least two real distribution scenarios before adoption.</w:t>
      </w:r>
    </w:p>
    <w:p>
      <w:pPr>
        <w:pStyle w:val="ListBullet"/>
        <w:spacing w:after="80"/>
      </w:pPr>
      <w:r>
        <w:rPr>
          <w:rFonts w:ascii="Calibri" w:hAnsi="Calibri"/>
          <w:b w:val="0"/>
          <w:i w:val="0"/>
          <w:color w:val="1B2430"/>
          <w:sz w:val="20"/>
        </w:rPr>
        <w:t>Titles and Authority: Confirm the titles actually used on cards, signature blocks, and filings are covered — an unlisted title is the one that causes the problem.</w:t>
      </w:r>
    </w:p>
    <w:p>
      <w:pPr>
        <w:pStyle w:val="ListBullet"/>
        <w:spacing w:after="80"/>
      </w:pPr>
      <w:r>
        <w:rPr>
          <w:rFonts w:ascii="Calibri" w:hAnsi="Calibri"/>
          <w:b w:val="0"/>
          <w:i w:val="0"/>
          <w:color w:val="1B2430"/>
          <w:sz w:val="20"/>
        </w:rPr>
        <w:t>Management: Confirm member-management is appropriate given the number of members and their involvement, and that the major-decision list and threshold are workable day to day.</w:t>
      </w:r>
    </w:p>
    <w:p>
      <w:pPr>
        <w:pStyle w:val="ListBullet"/>
        <w:spacing w:after="80"/>
      </w:pPr>
      <w:r>
        <w:rPr>
          <w:rFonts w:ascii="Calibri" w:hAnsi="Calibri"/>
          <w:b w:val="0"/>
          <w:i w:val="0"/>
          <w:color w:val="1B2430"/>
          <w:sz w:val="20"/>
        </w:rPr>
        <w:t>Member Authority and Reserved Decisions: Confirm who may sign, the approval threshold, and the complete reserved-decision list.</w:t>
      </w:r>
    </w:p>
    <w:p>
      <w:pPr>
        <w:pStyle w:val="ListBullet"/>
        <w:spacing w:after="80"/>
      </w:pPr>
      <w:r>
        <w:rPr>
          <w:rFonts w:ascii="Calibri" w:hAnsi="Calibri"/>
          <w:b w:val="0"/>
          <w:i w:val="0"/>
          <w:color w:val="1B2430"/>
          <w:sz w:val="20"/>
        </w:rPr>
        <w:t>Transfer Restrictions: Confirm the permitted-transfer carve-outs match the members' actual estate and entity planning. In a regulated business, confirm any transfer is conditioned on regulatory approval and suitability of the transferee.</w:t>
      </w:r>
    </w:p>
    <w:p>
      <w:pPr>
        <w:pStyle w:val="ListBullet"/>
        <w:spacing w:after="80"/>
      </w:pPr>
      <w:r>
        <w:rPr>
          <w:rFonts w:ascii="Calibri" w:hAnsi="Calibri"/>
          <w:b w:val="0"/>
          <w:i w:val="0"/>
          <w:color w:val="1B2430"/>
          <w:sz w:val="20"/>
        </w:rPr>
        <w:t>Proposed Estate-Planning Transfer: Coordinate the exception with the owner's actual estate plan and require an approved joinder.</w:t>
      </w:r>
    </w:p>
    <w:p>
      <w:pPr>
        <w:pStyle w:val="ListBullet"/>
        <w:spacing w:after="80"/>
      </w:pPr>
      <w:r>
        <w:rPr>
          <w:rFonts w:ascii="Calibri" w:hAnsi="Calibri"/>
          <w:b w:val="0"/>
          <w:i w:val="0"/>
          <w:color w:val="1B2430"/>
          <w:sz w:val="20"/>
        </w:rPr>
        <w:t>Deadlock Review Process: Choose enforceable deadlines, mediation terms, and any exit remedy after reviewing liquidity and governing law.</w:t>
      </w:r>
    </w:p>
    <w:p>
      <w:pPr>
        <w:pStyle w:val="ListBullet"/>
        <w:spacing w:after="80"/>
      </w:pPr>
      <w:r>
        <w:rPr>
          <w:rFonts w:ascii="Calibri" w:hAnsi="Calibri"/>
          <w:b w:val="0"/>
          <w:i w:val="0"/>
          <w:color w:val="1B2430"/>
          <w:sz w:val="20"/>
        </w:rPr>
        <w:t>Triggering Events: Confirm the Disability definition against any disability policy the Company or the Members carry — a mismatch leaves a funding gap precisely when the obligation triggers. Confirm the divorce trigger's interaction with community-property law in the governing jurisdiction, and whether spousal consents should be obtained at signing. Confirm whether “moral turpitude” is enforceable as a standard in the governing jurisdiction.</w:t>
      </w:r>
    </w:p>
    <w:p>
      <w:pPr>
        <w:pStyle w:val="ListBullet"/>
        <w:spacing w:after="80"/>
      </w:pPr>
      <w:r>
        <w:rPr>
          <w:rFonts w:ascii="Calibri" w:hAnsi="Calibri"/>
          <w:b w:val="0"/>
          <w:i w:val="0"/>
          <w:color w:val="1B2430"/>
          <w:sz w:val="20"/>
        </w:rPr>
        <w:t>Fair Market Value: Confirm whether the appraiser is instructed to apply, or to disregard, discounts for lack of marketability and lack of control. This single instruction can move the price by a third and is the most commonly litigated omission in buy-sell provisions. The clause below is deliberately silent so the instruction is a conscious choice.</w:t>
      </w:r>
    </w:p>
    <w:p>
      <w:pPr>
        <w:pStyle w:val="ListBullet"/>
        <w:spacing w:after="80"/>
      </w:pPr>
      <w:r>
        <w:rPr>
          <w:rFonts w:ascii="Calibri" w:hAnsi="Calibri"/>
          <w:b w:val="0"/>
          <w:i w:val="0"/>
          <w:color w:val="1B2430"/>
          <w:sz w:val="20"/>
        </w:rPr>
        <w:t>Buy-Sell Procedure: Confirm both parties can realistically fund a purchase at a plausible price. Confirm the deemed-election default on failure to respond is intended, and consider whether the offeror should be required to demonstrate financing before serving the notice.</w:t>
      </w:r>
    </w:p>
    <w:p>
      <w:pPr>
        <w:pStyle w:val="ListBullet"/>
        <w:spacing w:after="80"/>
      </w:pPr>
      <w:r>
        <w:rPr>
          <w:rFonts w:ascii="Calibri" w:hAnsi="Calibri"/>
          <w:b w:val="0"/>
          <w:i w:val="0"/>
          <w:color w:val="1B2430"/>
          <w:sz w:val="20"/>
        </w:rPr>
        <w:t>Payment Terms and Withdrawal: Confirm the note terms against the applicable federal rate rules so the note is not recharacterised as carrying imputed interest, and confirm the pledge is perfected under the governing jurisdiction's Article 9. Consider whether the note should accelerate on a subsequent sale of the Company, and whether a pledge of the interest being purchased is adequate security.</w:t>
      </w:r>
    </w:p>
    <w:p>
      <w:pPr>
        <w:pStyle w:val="ListBullet"/>
        <w:spacing w:after="80"/>
      </w:pPr>
      <w:r>
        <w:rPr>
          <w:rFonts w:ascii="Calibri" w:hAnsi="Calibri"/>
          <w:b w:val="0"/>
          <w:i w:val="0"/>
          <w:color w:val="1B2430"/>
          <w:sz w:val="20"/>
        </w:rPr>
        <w:t>Duties, Exculpation, and Indemnification: MANDATORY: confirm what may and may not be waived under the applicable synthetic entity statute placeholder — this varies significantly by state, and a waiver that is effective in Delaware may not be elsewhere. Confirm the indemnification and advancement provisions are consistent with the Company's insurance.</w:t>
      </w:r>
    </w:p>
    <w:p>
      <w:pPr>
        <w:pStyle w:val="ListBullet"/>
        <w:spacing w:after="80"/>
      </w:pPr>
      <w:r>
        <w:rPr>
          <w:rFonts w:ascii="Calibri" w:hAnsi="Calibri"/>
          <w:b w:val="0"/>
          <w:i w:val="0"/>
          <w:color w:val="1B2430"/>
          <w:sz w:val="20"/>
        </w:rPr>
        <w:t>Tax Distributions and Tax Matters: Confirm the assumed tax rate and whether it should be the highest marginal combined rate applicable to any Member. Confirm the timing works against estimated-payment deadlines rather than only the annual filing date. Confirm the Partnership Representative designation and the limits on that person's authority to settle an audit.</w:t>
      </w:r>
    </w:p>
    <w:p>
      <w:pPr>
        <w:pStyle w:val="ListBullet"/>
        <w:spacing w:after="80"/>
      </w:pPr>
      <w:r>
        <w:rPr>
          <w:rFonts w:ascii="Calibri" w:hAnsi="Calibri"/>
          <w:b w:val="0"/>
          <w:i w:val="0"/>
          <w:color w:val="1B2430"/>
          <w:sz w:val="20"/>
        </w:rPr>
        <w:t>Books, Records, and Reporting: Confirm the reporting cadence is achievable and that the tax-information deadline is realistic for the Company's accountants.</w:t>
      </w:r>
    </w:p>
    <w:p>
      <w:pPr>
        <w:pStyle w:val="ListBullet"/>
        <w:spacing w:after="80"/>
      </w:pPr>
      <w:r>
        <w:rPr>
          <w:rFonts w:ascii="Calibri" w:hAnsi="Calibri"/>
          <w:b w:val="0"/>
          <w:i w:val="0"/>
          <w:color w:val="1B2430"/>
          <w:sz w:val="20"/>
        </w:rPr>
        <w:t>Confidentiality: Confirm the trade-secret carve-out from the term limit is consistent with the State of Texas law, and that the compelled-disclosure procedure is workable.</w:t>
      </w:r>
    </w:p>
    <w:p>
      <w:pPr>
        <w:pStyle w:val="ListBullet"/>
        <w:spacing w:after="80"/>
      </w:pPr>
      <w:r>
        <w:rPr>
          <w:rFonts w:ascii="Calibri" w:hAnsi="Calibri"/>
          <w:b w:val="0"/>
          <w:i w:val="0"/>
          <w:color w:val="1B2430"/>
          <w:sz w:val="20"/>
        </w:rPr>
        <w:t>Work Product and Intellectual Property: Confirm whether any Member is contributing pre-existing intellectual property that should be licensed rather than assigned, and schedule it. Confirm the present-assignment language is effective in the governing jurisdiction — an agreement to assign in the future is materially weaker than an assignment.</w:t>
      </w:r>
    </w:p>
    <w:p>
      <w:pPr>
        <w:pStyle w:val="ListBullet"/>
        <w:spacing w:after="80"/>
      </w:pPr>
      <w:r>
        <w:rPr>
          <w:rFonts w:ascii="Calibri" w:hAnsi="Calibri"/>
          <w:b w:val="0"/>
          <w:i w:val="0"/>
          <w:color w:val="1B2430"/>
          <w:sz w:val="20"/>
        </w:rPr>
        <w:t>Confidentiality and Post-Departure Terms: Do not add a non-compete or non-solicit until qualified counsel confirms permitted scope, duration, geography, and consideration.</w:t>
      </w:r>
    </w:p>
    <w:p>
      <w:pPr>
        <w:pStyle w:val="ListBullet"/>
        <w:spacing w:after="80"/>
      </w:pPr>
      <w:r>
        <w:rPr>
          <w:rFonts w:ascii="Calibri" w:hAnsi="Calibri"/>
          <w:b w:val="0"/>
          <w:i w:val="0"/>
          <w:color w:val="1B2430"/>
          <w:sz w:val="20"/>
        </w:rPr>
        <w:t>Dissolution and Winding Up: Confirm the liquidation waterfall matches the distribution waterfall, and confirm with a tax advisor whether liquidating distributions should follow capital accounts instead.</w:t>
      </w:r>
    </w:p>
    <w:p>
      <w:pPr>
        <w:pStyle w:val="ListBullet"/>
        <w:spacing w:after="80"/>
      </w:pPr>
      <w:r>
        <w:rPr>
          <w:rFonts w:ascii="Calibri" w:hAnsi="Calibri"/>
          <w:b w:val="0"/>
          <w:i w:val="0"/>
          <w:color w:val="1B2430"/>
          <w:sz w:val="20"/>
        </w:rPr>
        <w:t>Governing Law and Dispute Resolution: Confirm the arbitration provider, seat, and rules are appropriate for the State of Texas and the likely dispute size. Confirm the fee-shifting provision is enforceable there.</w:t>
      </w:r>
    </w:p>
    <w:p>
      <w:pPr>
        <w:pBdr>
          <w:bottom w:val="single" w:sz="6" w:space="4" w:color="B8963E"/>
        </w:pBdr>
      </w:pPr>
    </w:p>
    <w:p>
      <w:pPr>
        <w:spacing w:before="300" w:after="120"/>
        <w:pBdr>
          <w:bottom w:val="single" w:sz="4" w:space="4" w:color="B8963E"/>
        </w:pBdr>
      </w:pPr>
      <w:r>
        <w:rPr>
          <w:rFonts w:ascii="Georgia" w:hAnsi="Georgia"/>
          <w:b/>
          <w:color w:val="0B1F3A"/>
          <w:sz w:val="24"/>
        </w:rPr>
        <w:t>Terms supplied</w:t>
      </w:r>
    </w:p>
    <w:tbl>
      <w:tblPr>
        <w:tblStyle w:val="TableGrid"/>
        <w:tblW w:type="auto" w:w="0"/>
        <w:jc w:val="center"/>
        <w:tblLayout w:type="fixed"/>
        <w:tblLook w:firstColumn="1" w:firstRow="1" w:lastColumn="0" w:lastRow="0" w:noHBand="0" w:noVBand="1" w:val="04A0"/>
      </w:tblPr>
      <w:tblGrid>
        <w:gridCol w:w="5320"/>
        <w:gridCol w:w="4760"/>
      </w:tblGrid>
      <w:tr>
        <w:tc>
          <w:tcPr>
            <w:tcW w:type="dxa" w:w="5320"/>
            <w:vAlign w:val="center"/>
            <w:shd w:fill="0B1F3A"/>
          </w:tcPr>
          <w:p>
            <w:r>
              <w:rPr>
                <w:rFonts w:ascii="Calibri" w:hAnsi="Calibri"/>
                <w:b/>
                <w:i w:val="0"/>
                <w:color w:val="FFFFFF"/>
                <w:sz w:val="19"/>
              </w:rPr>
              <w:t>Term</w:t>
            </w:r>
          </w:p>
        </w:tc>
        <w:tc>
          <w:tcPr>
            <w:tcW w:type="dxa" w:w="4760"/>
            <w:vAlign w:val="center"/>
            <w:shd w:fill="0B1F3A"/>
          </w:tcPr>
          <w:p>
            <w:r>
              <w:rPr>
                <w:rFonts w:ascii="Calibri" w:hAnsi="Calibri"/>
                <w:b/>
                <w:i w:val="0"/>
                <w:color w:val="FFFFFF"/>
                <w:sz w:val="19"/>
              </w:rPr>
              <w:t>Value</w:t>
            </w:r>
          </w:p>
        </w:tc>
      </w:tr>
      <w:tr>
        <w:tc>
          <w:tcPr>
            <w:tcW w:type="dxa" w:w="5320"/>
            <w:vAlign w:val="center"/>
          </w:tcPr>
          <w:p>
            <w:r>
              <w:rPr>
                <w:rFonts w:ascii="Calibri" w:hAnsi="Calibri"/>
                <w:b w:val="0"/>
                <w:i w:val="0"/>
                <w:color w:val="1B2430"/>
                <w:sz w:val="19"/>
              </w:rPr>
              <w:t>Accounting basis</w:t>
            </w:r>
          </w:p>
        </w:tc>
        <w:tc>
          <w:tcPr>
            <w:tcW w:type="dxa" w:w="4760"/>
            <w:vAlign w:val="center"/>
          </w:tcPr>
          <w:p>
            <w:r>
              <w:rPr>
                <w:rFonts w:ascii="Calibri" w:hAnsi="Calibri"/>
                <w:b w:val="0"/>
                <w:i w:val="0"/>
                <w:color w:val="1B2430"/>
                <w:sz w:val="19"/>
              </w:rPr>
              <w:t>GAAP</w:t>
            </w:r>
          </w:p>
        </w:tc>
      </w:tr>
      <w:tr>
        <w:tc>
          <w:tcPr>
            <w:tcW w:type="dxa" w:w="5320"/>
            <w:vAlign w:val="center"/>
          </w:tcPr>
          <w:p>
            <w:r>
              <w:rPr>
                <w:rFonts w:ascii="Calibri" w:hAnsi="Calibri"/>
                <w:b w:val="0"/>
                <w:i w:val="0"/>
                <w:color w:val="1B2430"/>
                <w:sz w:val="19"/>
              </w:rPr>
              <w:t>Annual report deadline (days)</w:t>
            </w:r>
          </w:p>
        </w:tc>
        <w:tc>
          <w:tcPr>
            <w:tcW w:type="dxa" w:w="4760"/>
            <w:vAlign w:val="center"/>
          </w:tcPr>
          <w:p>
            <w:r>
              <w:rPr>
                <w:rFonts w:ascii="Calibri" w:hAnsi="Calibri"/>
                <w:b w:val="0"/>
                <w:i w:val="0"/>
                <w:color w:val="1B2430"/>
                <w:sz w:val="19"/>
              </w:rPr>
              <w:t>90</w:t>
            </w:r>
          </w:p>
        </w:tc>
      </w:tr>
      <w:tr>
        <w:tc>
          <w:tcPr>
            <w:tcW w:type="dxa" w:w="5320"/>
            <w:vAlign w:val="center"/>
          </w:tcPr>
          <w:p>
            <w:r>
              <w:rPr>
                <w:rFonts w:ascii="Calibri" w:hAnsi="Calibri"/>
                <w:b w:val="0"/>
                <w:i w:val="0"/>
                <w:color w:val="1B2430"/>
                <w:sz w:val="19"/>
              </w:rPr>
              <w:t>Arbitration provider</w:t>
            </w:r>
          </w:p>
        </w:tc>
        <w:tc>
          <w:tcPr>
            <w:tcW w:type="dxa" w:w="4760"/>
            <w:vAlign w:val="center"/>
          </w:tcPr>
          <w:p>
            <w:r>
              <w:rPr>
                <w:rFonts w:ascii="Calibri" w:hAnsi="Calibri"/>
                <w:b w:val="0"/>
                <w:i w:val="0"/>
                <w:color w:val="1B2430"/>
                <w:sz w:val="19"/>
              </w:rPr>
              <w:t>JAMS</w:t>
            </w:r>
          </w:p>
        </w:tc>
      </w:tr>
      <w:tr>
        <w:tc>
          <w:tcPr>
            <w:tcW w:type="dxa" w:w="5320"/>
            <w:vAlign w:val="center"/>
          </w:tcPr>
          <w:p>
            <w:r>
              <w:rPr>
                <w:rFonts w:ascii="Calibri" w:hAnsi="Calibri"/>
                <w:b w:val="0"/>
                <w:i w:val="0"/>
                <w:color w:val="1B2430"/>
                <w:sz w:val="19"/>
              </w:rPr>
              <w:t>Cash due at closing on a buy-out</w:t>
            </w:r>
          </w:p>
        </w:tc>
        <w:tc>
          <w:tcPr>
            <w:tcW w:type="dxa" w:w="4760"/>
            <w:vAlign w:val="center"/>
          </w:tcPr>
          <w:p>
            <w:r>
              <w:rPr>
                <w:rFonts w:ascii="Calibri" w:hAnsi="Calibri"/>
                <w:b w:val="0"/>
                <w:i w:val="0"/>
                <w:color w:val="1B2430"/>
                <w:sz w:val="19"/>
              </w:rPr>
              <w:t>20%</w:t>
            </w:r>
          </w:p>
        </w:tc>
      </w:tr>
      <w:tr>
        <w:tc>
          <w:tcPr>
            <w:tcW w:type="dxa" w:w="5320"/>
            <w:vAlign w:val="center"/>
          </w:tcPr>
          <w:p>
            <w:r>
              <w:rPr>
                <w:rFonts w:ascii="Calibri" w:hAnsi="Calibri"/>
                <w:b w:val="0"/>
                <w:i w:val="0"/>
                <w:color w:val="1B2430"/>
                <w:sz w:val="19"/>
              </w:rPr>
              <w:t>Buy-out note term (months)</w:t>
            </w:r>
          </w:p>
        </w:tc>
        <w:tc>
          <w:tcPr>
            <w:tcW w:type="dxa" w:w="4760"/>
            <w:vAlign w:val="center"/>
          </w:tcPr>
          <w:p>
            <w:r>
              <w:rPr>
                <w:rFonts w:ascii="Calibri" w:hAnsi="Calibri"/>
                <w:b w:val="0"/>
                <w:i w:val="0"/>
                <w:color w:val="1B2430"/>
                <w:sz w:val="19"/>
              </w:rPr>
              <w:t>36</w:t>
            </w:r>
          </w:p>
        </w:tc>
      </w:tr>
      <w:tr>
        <w:tc>
          <w:tcPr>
            <w:tcW w:type="dxa" w:w="5320"/>
            <w:vAlign w:val="center"/>
          </w:tcPr>
          <w:p>
            <w:r>
              <w:rPr>
                <w:rFonts w:ascii="Calibri" w:hAnsi="Calibri"/>
                <w:b w:val="0"/>
                <w:i w:val="0"/>
                <w:color w:val="1B2430"/>
                <w:sz w:val="19"/>
              </w:rPr>
              <w:t>Buy-sell closing window (days)</w:t>
            </w:r>
          </w:p>
        </w:tc>
        <w:tc>
          <w:tcPr>
            <w:tcW w:type="dxa" w:w="4760"/>
            <w:vAlign w:val="center"/>
          </w:tcPr>
          <w:p>
            <w:r>
              <w:rPr>
                <w:rFonts w:ascii="Calibri" w:hAnsi="Calibri"/>
                <w:b w:val="0"/>
                <w:i w:val="0"/>
                <w:color w:val="1B2430"/>
                <w:sz w:val="19"/>
              </w:rPr>
              <w:t>60</w:t>
            </w:r>
          </w:p>
        </w:tc>
      </w:tr>
      <w:tr>
        <w:tc>
          <w:tcPr>
            <w:tcW w:type="dxa" w:w="5320"/>
            <w:vAlign w:val="center"/>
          </w:tcPr>
          <w:p>
            <w:r>
              <w:rPr>
                <w:rFonts w:ascii="Calibri" w:hAnsi="Calibri"/>
                <w:b w:val="0"/>
                <w:i w:val="0"/>
                <w:color w:val="1B2430"/>
                <w:sz w:val="19"/>
              </w:rPr>
              <w:t>Buy-sell election window (days)</w:t>
            </w:r>
          </w:p>
        </w:tc>
        <w:tc>
          <w:tcPr>
            <w:tcW w:type="dxa" w:w="4760"/>
            <w:vAlign w:val="center"/>
          </w:tcPr>
          <w:p>
            <w:r>
              <w:rPr>
                <w:rFonts w:ascii="Calibri" w:hAnsi="Calibri"/>
                <w:b w:val="0"/>
                <w:i w:val="0"/>
                <w:color w:val="1B2430"/>
                <w:sz w:val="19"/>
              </w:rPr>
              <w:t>30</w:t>
            </w:r>
          </w:p>
        </w:tc>
      </w:tr>
      <w:tr>
        <w:tc>
          <w:tcPr>
            <w:tcW w:type="dxa" w:w="5320"/>
            <w:vAlign w:val="center"/>
          </w:tcPr>
          <w:p>
            <w:r>
              <w:rPr>
                <w:rFonts w:ascii="Calibri" w:hAnsi="Calibri"/>
                <w:b w:val="0"/>
                <w:i w:val="0"/>
                <w:color w:val="1B2430"/>
                <w:sz w:val="19"/>
              </w:rPr>
              <w:t>Stated company purpose</w:t>
            </w:r>
          </w:p>
        </w:tc>
        <w:tc>
          <w:tcPr>
            <w:tcW w:type="dxa" w:w="4760"/>
            <w:vAlign w:val="center"/>
          </w:tcPr>
          <w:p>
            <w:r>
              <w:rPr>
                <w:rFonts w:ascii="Calibri" w:hAnsi="Calibri"/>
                <w:b w:val="0"/>
                <w:i w:val="0"/>
                <w:color w:val="1B2430"/>
                <w:sz w:val="19"/>
              </w:rPr>
              <w:t>owning and operating fictional evaluation assets</w:t>
            </w:r>
          </w:p>
        </w:tc>
      </w:tr>
      <w:tr>
        <w:tc>
          <w:tcPr>
            <w:tcW w:type="dxa" w:w="5320"/>
            <w:vAlign w:val="center"/>
          </w:tcPr>
          <w:p>
            <w:r>
              <w:rPr>
                <w:rFonts w:ascii="Calibri" w:hAnsi="Calibri"/>
                <w:b w:val="0"/>
                <w:i w:val="0"/>
                <w:color w:val="1B2430"/>
                <w:sz w:val="19"/>
              </w:rPr>
              <w:t>Confidentiality period (years)</w:t>
            </w:r>
          </w:p>
        </w:tc>
        <w:tc>
          <w:tcPr>
            <w:tcW w:type="dxa" w:w="4760"/>
            <w:vAlign w:val="center"/>
          </w:tcPr>
          <w:p>
            <w:r>
              <w:rPr>
                <w:rFonts w:ascii="Calibri" w:hAnsi="Calibri"/>
                <w:b w:val="0"/>
                <w:i w:val="0"/>
                <w:color w:val="1B2430"/>
                <w:sz w:val="19"/>
              </w:rPr>
              <w:t>5</w:t>
            </w:r>
          </w:p>
        </w:tc>
      </w:tr>
      <w:tr>
        <w:tc>
          <w:tcPr>
            <w:tcW w:type="dxa" w:w="5320"/>
            <w:vAlign w:val="center"/>
          </w:tcPr>
          <w:p>
            <w:r>
              <w:rPr>
                <w:rFonts w:ascii="Calibri" w:hAnsi="Calibri"/>
                <w:b w:val="0"/>
                <w:i w:val="0"/>
                <w:color w:val="1B2430"/>
                <w:sz w:val="19"/>
              </w:rPr>
              <w:t>Days to exercise the purchase right on a triggering event</w:t>
            </w:r>
          </w:p>
        </w:tc>
        <w:tc>
          <w:tcPr>
            <w:tcW w:type="dxa" w:w="4760"/>
            <w:vAlign w:val="center"/>
          </w:tcPr>
          <w:p>
            <w:r>
              <w:rPr>
                <w:rFonts w:ascii="Calibri" w:hAnsi="Calibri"/>
                <w:b w:val="0"/>
                <w:i w:val="0"/>
                <w:color w:val="1B2430"/>
                <w:sz w:val="19"/>
              </w:rPr>
              <w:t>90</w:t>
            </w:r>
          </w:p>
        </w:tc>
      </w:tr>
      <w:tr>
        <w:tc>
          <w:tcPr>
            <w:tcW w:type="dxa" w:w="5320"/>
            <w:vAlign w:val="center"/>
          </w:tcPr>
          <w:p>
            <w:r>
              <w:rPr>
                <w:rFonts w:ascii="Calibri" w:hAnsi="Calibri"/>
                <w:b w:val="0"/>
                <w:i w:val="0"/>
                <w:color w:val="1B2430"/>
                <w:sz w:val="19"/>
              </w:rPr>
              <w:t>Disability — days within the trailing window</w:t>
            </w:r>
          </w:p>
        </w:tc>
        <w:tc>
          <w:tcPr>
            <w:tcW w:type="dxa" w:w="4760"/>
            <w:vAlign w:val="center"/>
          </w:tcPr>
          <w:p>
            <w:r>
              <w:rPr>
                <w:rFonts w:ascii="Calibri" w:hAnsi="Calibri"/>
                <w:b w:val="0"/>
                <w:i w:val="0"/>
                <w:color w:val="1B2430"/>
                <w:sz w:val="19"/>
              </w:rPr>
              <w:t>120</w:t>
            </w:r>
          </w:p>
        </w:tc>
      </w:tr>
      <w:tr>
        <w:tc>
          <w:tcPr>
            <w:tcW w:type="dxa" w:w="5320"/>
            <w:vAlign w:val="center"/>
          </w:tcPr>
          <w:p>
            <w:r>
              <w:rPr>
                <w:rFonts w:ascii="Calibri" w:hAnsi="Calibri"/>
                <w:b w:val="0"/>
                <w:i w:val="0"/>
                <w:color w:val="1B2430"/>
                <w:sz w:val="19"/>
              </w:rPr>
              <w:t>Disability — consecutive days</w:t>
            </w:r>
          </w:p>
        </w:tc>
        <w:tc>
          <w:tcPr>
            <w:tcW w:type="dxa" w:w="4760"/>
            <w:vAlign w:val="center"/>
          </w:tcPr>
          <w:p>
            <w:r>
              <w:rPr>
                <w:rFonts w:ascii="Calibri" w:hAnsi="Calibri"/>
                <w:b w:val="0"/>
                <w:i w:val="0"/>
                <w:color w:val="1B2430"/>
                <w:sz w:val="19"/>
              </w:rPr>
              <w:t>90</w:t>
            </w:r>
          </w:p>
        </w:tc>
      </w:tr>
      <w:tr>
        <w:tc>
          <w:tcPr>
            <w:tcW w:type="dxa" w:w="5320"/>
            <w:vAlign w:val="center"/>
          </w:tcPr>
          <w:p>
            <w:r>
              <w:rPr>
                <w:rFonts w:ascii="Calibri" w:hAnsi="Calibri"/>
                <w:b w:val="0"/>
                <w:i w:val="0"/>
                <w:color w:val="1B2430"/>
                <w:sz w:val="19"/>
              </w:rPr>
              <w:t>Disability — trailing window (days)</w:t>
            </w:r>
          </w:p>
        </w:tc>
        <w:tc>
          <w:tcPr>
            <w:tcW w:type="dxa" w:w="4760"/>
            <w:vAlign w:val="center"/>
          </w:tcPr>
          <w:p>
            <w:r>
              <w:rPr>
                <w:rFonts w:ascii="Calibri" w:hAnsi="Calibri"/>
                <w:b w:val="0"/>
                <w:i w:val="0"/>
                <w:color w:val="1B2430"/>
                <w:sz w:val="19"/>
              </w:rPr>
              <w:t>180</w:t>
            </w:r>
          </w:p>
        </w:tc>
      </w:tr>
      <w:tr>
        <w:tc>
          <w:tcPr>
            <w:tcW w:type="dxa" w:w="5320"/>
            <w:vAlign w:val="center"/>
          </w:tcPr>
          <w:p>
            <w:r>
              <w:rPr>
                <w:rFonts w:ascii="Calibri" w:hAnsi="Calibri"/>
                <w:b w:val="0"/>
                <w:i w:val="0"/>
                <w:color w:val="1B2430"/>
                <w:sz w:val="19"/>
              </w:rPr>
              <w:t>Governing entity statute</w:t>
            </w:r>
          </w:p>
        </w:tc>
        <w:tc>
          <w:tcPr>
            <w:tcW w:type="dxa" w:w="4760"/>
            <w:vAlign w:val="center"/>
          </w:tcPr>
          <w:p>
            <w:r>
              <w:rPr>
                <w:rFonts w:ascii="Calibri" w:hAnsi="Calibri"/>
                <w:b w:val="0"/>
                <w:i w:val="0"/>
                <w:color w:val="1B2430"/>
                <w:sz w:val="19"/>
              </w:rPr>
              <w:t>the applicable synthetic entity statute placeholder</w:t>
            </w:r>
          </w:p>
        </w:tc>
      </w:tr>
      <w:tr>
        <w:tc>
          <w:tcPr>
            <w:tcW w:type="dxa" w:w="5320"/>
            <w:vAlign w:val="center"/>
          </w:tcPr>
          <w:p>
            <w:r>
              <w:rPr>
                <w:rFonts w:ascii="Calibri" w:hAnsi="Calibri"/>
                <w:b w:val="0"/>
                <w:i w:val="0"/>
                <w:color w:val="1B2430"/>
                <w:sz w:val="19"/>
              </w:rPr>
              <w:t>Days for the members to agree on value</w:t>
            </w:r>
          </w:p>
        </w:tc>
        <w:tc>
          <w:tcPr>
            <w:tcW w:type="dxa" w:w="4760"/>
            <w:vAlign w:val="center"/>
          </w:tcPr>
          <w:p>
            <w:r>
              <w:rPr>
                <w:rFonts w:ascii="Calibri" w:hAnsi="Calibri"/>
                <w:b w:val="0"/>
                <w:i w:val="0"/>
                <w:color w:val="1B2430"/>
                <w:sz w:val="19"/>
              </w:rPr>
              <w:t>15</w:t>
            </w:r>
          </w:p>
        </w:tc>
      </w:tr>
      <w:tr>
        <w:tc>
          <w:tcPr>
            <w:tcW w:type="dxa" w:w="5320"/>
            <w:vAlign w:val="center"/>
          </w:tcPr>
          <w:p>
            <w:r>
              <w:rPr>
                <w:rFonts w:ascii="Calibri" w:hAnsi="Calibri"/>
                <w:b w:val="0"/>
                <w:i w:val="0"/>
                <w:color w:val="1B2430"/>
                <w:sz w:val="19"/>
              </w:rPr>
              <w:t>Days to appoint appraisers</w:t>
            </w:r>
          </w:p>
        </w:tc>
        <w:tc>
          <w:tcPr>
            <w:tcW w:type="dxa" w:w="4760"/>
            <w:vAlign w:val="center"/>
          </w:tcPr>
          <w:p>
            <w:r>
              <w:rPr>
                <w:rFonts w:ascii="Calibri" w:hAnsi="Calibri"/>
                <w:b w:val="0"/>
                <w:i w:val="0"/>
                <w:color w:val="1B2430"/>
                <w:sz w:val="19"/>
              </w:rPr>
              <w:t>15</w:t>
            </w:r>
          </w:p>
        </w:tc>
      </w:tr>
      <w:tr>
        <w:tc>
          <w:tcPr>
            <w:tcW w:type="dxa" w:w="5320"/>
            <w:vAlign w:val="center"/>
          </w:tcPr>
          <w:p>
            <w:r>
              <w:rPr>
                <w:rFonts w:ascii="Calibri" w:hAnsi="Calibri"/>
                <w:b w:val="0"/>
                <w:i w:val="0"/>
                <w:color w:val="1B2430"/>
                <w:sz w:val="19"/>
              </w:rPr>
              <w:t>Convergence band before a third appraiser</w:t>
            </w:r>
          </w:p>
        </w:tc>
        <w:tc>
          <w:tcPr>
            <w:tcW w:type="dxa" w:w="4760"/>
            <w:vAlign w:val="center"/>
          </w:tcPr>
          <w:p>
            <w:r>
              <w:rPr>
                <w:rFonts w:ascii="Calibri" w:hAnsi="Calibri"/>
                <w:b w:val="0"/>
                <w:i w:val="0"/>
                <w:color w:val="1B2430"/>
                <w:sz w:val="19"/>
              </w:rPr>
              <w:t>10%</w:t>
            </w:r>
          </w:p>
        </w:tc>
      </w:tr>
      <w:tr>
        <w:tc>
          <w:tcPr>
            <w:tcW w:type="dxa" w:w="5320"/>
            <w:vAlign w:val="center"/>
          </w:tcPr>
          <w:p>
            <w:r>
              <w:rPr>
                <w:rFonts w:ascii="Calibri" w:hAnsi="Calibri"/>
                <w:b w:val="0"/>
                <w:i w:val="0"/>
                <w:color w:val="1B2430"/>
                <w:sz w:val="19"/>
              </w:rPr>
              <w:t>Days for the appraisers to determine value</w:t>
            </w:r>
          </w:p>
        </w:tc>
        <w:tc>
          <w:tcPr>
            <w:tcW w:type="dxa" w:w="4760"/>
            <w:vAlign w:val="center"/>
          </w:tcPr>
          <w:p>
            <w:r>
              <w:rPr>
                <w:rFonts w:ascii="Calibri" w:hAnsi="Calibri"/>
                <w:b w:val="0"/>
                <w:i w:val="0"/>
                <w:color w:val="1B2430"/>
                <w:sz w:val="19"/>
              </w:rPr>
              <w:t>30</w:t>
            </w:r>
          </w:p>
        </w:tc>
      </w:tr>
      <w:tr>
        <w:tc>
          <w:tcPr>
            <w:tcW w:type="dxa" w:w="5320"/>
            <w:vAlign w:val="center"/>
          </w:tcPr>
          <w:p>
            <w:r>
              <w:rPr>
                <w:rFonts w:ascii="Calibri" w:hAnsi="Calibri"/>
                <w:b w:val="0"/>
                <w:i w:val="0"/>
                <w:color w:val="1B2430"/>
                <w:sz w:val="19"/>
              </w:rPr>
              <w:t>Governing jurisdiction</w:t>
            </w:r>
          </w:p>
        </w:tc>
        <w:tc>
          <w:tcPr>
            <w:tcW w:type="dxa" w:w="4760"/>
            <w:vAlign w:val="center"/>
          </w:tcPr>
          <w:p>
            <w:r>
              <w:rPr>
                <w:rFonts w:ascii="Calibri" w:hAnsi="Calibri"/>
                <w:b w:val="0"/>
                <w:i w:val="0"/>
                <w:color w:val="1B2430"/>
                <w:sz w:val="19"/>
              </w:rPr>
              <w:t>the State of Texas</w:t>
            </w:r>
          </w:p>
        </w:tc>
      </w:tr>
      <w:tr>
        <w:tc>
          <w:tcPr>
            <w:tcW w:type="dxa" w:w="5320"/>
            <w:vAlign w:val="center"/>
          </w:tcPr>
          <w:p>
            <w:r>
              <w:rPr>
                <w:rFonts w:ascii="Calibri" w:hAnsi="Calibri"/>
                <w:b w:val="0"/>
                <w:i w:val="0"/>
                <w:color w:val="1B2430"/>
                <w:sz w:val="19"/>
              </w:rPr>
              <w:t>Ordinary-course authority threshold</w:t>
            </w:r>
          </w:p>
        </w:tc>
        <w:tc>
          <w:tcPr>
            <w:tcW w:type="dxa" w:w="4760"/>
            <w:vAlign w:val="center"/>
          </w:tcPr>
          <w:p>
            <w:r>
              <w:rPr>
                <w:rFonts w:ascii="Calibri" w:hAnsi="Calibri"/>
                <w:b w:val="0"/>
                <w:i w:val="0"/>
                <w:color w:val="1B2430"/>
                <w:sz w:val="19"/>
              </w:rPr>
              <w:t>$60,000</w:t>
            </w:r>
          </w:p>
        </w:tc>
      </w:tr>
      <w:tr>
        <w:tc>
          <w:tcPr>
            <w:tcW w:type="dxa" w:w="5320"/>
            <w:vAlign w:val="center"/>
          </w:tcPr>
          <w:p>
            <w:r>
              <w:rPr>
                <w:rFonts w:ascii="Calibri" w:hAnsi="Calibri"/>
                <w:b w:val="0"/>
                <w:i w:val="0"/>
                <w:color w:val="1B2430"/>
                <w:sz w:val="19"/>
              </w:rPr>
              <w:t>Preferred return</w:t>
            </w:r>
          </w:p>
        </w:tc>
        <w:tc>
          <w:tcPr>
            <w:tcW w:type="dxa" w:w="4760"/>
            <w:vAlign w:val="center"/>
          </w:tcPr>
          <w:p>
            <w:r>
              <w:rPr>
                <w:rFonts w:ascii="Calibri" w:hAnsi="Calibri"/>
                <w:b w:val="0"/>
                <w:i w:val="0"/>
                <w:color w:val="1B2430"/>
                <w:sz w:val="19"/>
              </w:rPr>
              <w:t>8%</w:t>
            </w:r>
          </w:p>
        </w:tc>
      </w:tr>
      <w:tr>
        <w:tc>
          <w:tcPr>
            <w:tcW w:type="dxa" w:w="5320"/>
            <w:vAlign w:val="center"/>
          </w:tcPr>
          <w:p>
            <w:r>
              <w:rPr>
                <w:rFonts w:ascii="Calibri" w:hAnsi="Calibri"/>
                <w:b w:val="0"/>
                <w:i w:val="0"/>
                <w:color w:val="1B2430"/>
                <w:sz w:val="19"/>
              </w:rPr>
              <w:t>Promote holder</w:t>
            </w:r>
          </w:p>
        </w:tc>
        <w:tc>
          <w:tcPr>
            <w:tcW w:type="dxa" w:w="4760"/>
            <w:vAlign w:val="center"/>
          </w:tcPr>
          <w:p>
            <w:r>
              <w:rPr>
                <w:rFonts w:ascii="Calibri" w:hAnsi="Calibri"/>
                <w:b w:val="0"/>
                <w:i w:val="0"/>
                <w:color w:val="1B2430"/>
                <w:sz w:val="19"/>
              </w:rPr>
              <w:t>Northstar Sponsor LLC</w:t>
            </w:r>
          </w:p>
        </w:tc>
      </w:tr>
      <w:tr>
        <w:tc>
          <w:tcPr>
            <w:tcW w:type="dxa" w:w="5320"/>
            <w:vAlign w:val="center"/>
          </w:tcPr>
          <w:p>
            <w:r>
              <w:rPr>
                <w:rFonts w:ascii="Calibri" w:hAnsi="Calibri"/>
                <w:b w:val="0"/>
                <w:i w:val="0"/>
                <w:color w:val="1B2430"/>
                <w:sz w:val="19"/>
              </w:rPr>
              <w:t>Quarterly report deadline (days)</w:t>
            </w:r>
          </w:p>
        </w:tc>
        <w:tc>
          <w:tcPr>
            <w:tcW w:type="dxa" w:w="4760"/>
            <w:vAlign w:val="center"/>
          </w:tcPr>
          <w:p>
            <w:r>
              <w:rPr>
                <w:rFonts w:ascii="Calibri" w:hAnsi="Calibri"/>
                <w:b w:val="0"/>
                <w:i w:val="0"/>
                <w:color w:val="1B2430"/>
                <w:sz w:val="19"/>
              </w:rPr>
              <w:t>30</w:t>
            </w:r>
          </w:p>
        </w:tc>
      </w:tr>
      <w:tr>
        <w:tc>
          <w:tcPr>
            <w:tcW w:type="dxa" w:w="5320"/>
            <w:vAlign w:val="center"/>
          </w:tcPr>
          <w:p>
            <w:r>
              <w:rPr>
                <w:rFonts w:ascii="Calibri" w:hAnsi="Calibri"/>
                <w:b w:val="0"/>
                <w:i w:val="0"/>
                <w:color w:val="1B2430"/>
                <w:sz w:val="19"/>
              </w:rPr>
              <w:t>Residual split to members</w:t>
            </w:r>
          </w:p>
        </w:tc>
        <w:tc>
          <w:tcPr>
            <w:tcW w:type="dxa" w:w="4760"/>
            <w:vAlign w:val="center"/>
          </w:tcPr>
          <w:p>
            <w:r>
              <w:rPr>
                <w:rFonts w:ascii="Calibri" w:hAnsi="Calibri"/>
                <w:b w:val="0"/>
                <w:i w:val="0"/>
                <w:color w:val="1B2430"/>
                <w:sz w:val="19"/>
              </w:rPr>
              <w:t>80%</w:t>
            </w:r>
          </w:p>
        </w:tc>
      </w:tr>
      <w:tr>
        <w:tc>
          <w:tcPr>
            <w:tcW w:type="dxa" w:w="5320"/>
            <w:vAlign w:val="center"/>
          </w:tcPr>
          <w:p>
            <w:r>
              <w:rPr>
                <w:rFonts w:ascii="Calibri" w:hAnsi="Calibri"/>
                <w:b w:val="0"/>
                <w:i w:val="0"/>
                <w:color w:val="1B2430"/>
                <w:sz w:val="19"/>
              </w:rPr>
              <w:t>ROFR completion window (days)</w:t>
            </w:r>
          </w:p>
        </w:tc>
        <w:tc>
          <w:tcPr>
            <w:tcW w:type="dxa" w:w="4760"/>
            <w:vAlign w:val="center"/>
          </w:tcPr>
          <w:p>
            <w:r>
              <w:rPr>
                <w:rFonts w:ascii="Calibri" w:hAnsi="Calibri"/>
                <w:b w:val="0"/>
                <w:i w:val="0"/>
                <w:color w:val="1B2430"/>
                <w:sz w:val="19"/>
              </w:rPr>
              <w:t>60</w:t>
            </w:r>
          </w:p>
        </w:tc>
      </w:tr>
      <w:tr>
        <w:tc>
          <w:tcPr>
            <w:tcW w:type="dxa" w:w="5320"/>
            <w:vAlign w:val="center"/>
          </w:tcPr>
          <w:p>
            <w:r>
              <w:rPr>
                <w:rFonts w:ascii="Calibri" w:hAnsi="Calibri"/>
                <w:b w:val="0"/>
                <w:i w:val="0"/>
                <w:color w:val="1B2430"/>
                <w:sz w:val="19"/>
              </w:rPr>
              <w:t>Right of first refusal window (days)</w:t>
            </w:r>
          </w:p>
        </w:tc>
        <w:tc>
          <w:tcPr>
            <w:tcW w:type="dxa" w:w="4760"/>
            <w:vAlign w:val="center"/>
          </w:tcPr>
          <w:p>
            <w:r>
              <w:rPr>
                <w:rFonts w:ascii="Calibri" w:hAnsi="Calibri"/>
                <w:b w:val="0"/>
                <w:i w:val="0"/>
                <w:color w:val="1B2430"/>
                <w:sz w:val="19"/>
              </w:rPr>
              <w:t>45</w:t>
            </w:r>
          </w:p>
        </w:tc>
      </w:tr>
      <w:tr>
        <w:tc>
          <w:tcPr>
            <w:tcW w:type="dxa" w:w="5320"/>
            <w:vAlign w:val="center"/>
          </w:tcPr>
          <w:p>
            <w:r>
              <w:rPr>
                <w:rFonts w:ascii="Calibri" w:hAnsi="Calibri"/>
                <w:b w:val="0"/>
                <w:i w:val="0"/>
                <w:color w:val="1B2430"/>
                <w:sz w:val="19"/>
              </w:rPr>
              <w:t>Tax distribution deadline (days)</w:t>
            </w:r>
          </w:p>
        </w:tc>
        <w:tc>
          <w:tcPr>
            <w:tcW w:type="dxa" w:w="4760"/>
            <w:vAlign w:val="center"/>
          </w:tcPr>
          <w:p>
            <w:r>
              <w:rPr>
                <w:rFonts w:ascii="Calibri" w:hAnsi="Calibri"/>
                <w:b w:val="0"/>
                <w:i w:val="0"/>
                <w:color w:val="1B2430"/>
                <w:sz w:val="19"/>
              </w:rPr>
              <w:t>75</w:t>
            </w:r>
          </w:p>
        </w:tc>
      </w:tr>
      <w:tr>
        <w:tc>
          <w:tcPr>
            <w:tcW w:type="dxa" w:w="5320"/>
            <w:vAlign w:val="center"/>
          </w:tcPr>
          <w:p>
            <w:r>
              <w:rPr>
                <w:rFonts w:ascii="Calibri" w:hAnsi="Calibri"/>
                <w:b w:val="0"/>
                <w:i w:val="0"/>
                <w:color w:val="1B2430"/>
                <w:sz w:val="19"/>
              </w:rPr>
              <w:t>K-1 delivery deadline (days)</w:t>
            </w:r>
          </w:p>
        </w:tc>
        <w:tc>
          <w:tcPr>
            <w:tcW w:type="dxa" w:w="4760"/>
            <w:vAlign w:val="center"/>
          </w:tcPr>
          <w:p>
            <w:r>
              <w:rPr>
                <w:rFonts w:ascii="Calibri" w:hAnsi="Calibri"/>
                <w:b w:val="0"/>
                <w:i w:val="0"/>
                <w:color w:val="1B2430"/>
                <w:sz w:val="19"/>
              </w:rPr>
              <w:t>75</w:t>
            </w:r>
          </w:p>
        </w:tc>
      </w:tr>
      <w:tr>
        <w:tc>
          <w:tcPr>
            <w:tcW w:type="dxa" w:w="5320"/>
            <w:vAlign w:val="center"/>
          </w:tcPr>
          <w:p>
            <w:r>
              <w:rPr>
                <w:rFonts w:ascii="Calibri" w:hAnsi="Calibri"/>
                <w:b w:val="0"/>
                <w:i w:val="0"/>
                <w:color w:val="1B2430"/>
                <w:sz w:val="19"/>
              </w:rPr>
              <w:t>Cure period for a material breach (days)</w:t>
            </w:r>
          </w:p>
        </w:tc>
        <w:tc>
          <w:tcPr>
            <w:tcW w:type="dxa" w:w="4760"/>
            <w:vAlign w:val="center"/>
          </w:tcPr>
          <w:p>
            <w:r>
              <w:rPr>
                <w:rFonts w:ascii="Calibri" w:hAnsi="Calibri"/>
                <w:b w:val="0"/>
                <w:i w:val="0"/>
                <w:color w:val="1B2430"/>
                <w:sz w:val="19"/>
              </w:rPr>
              <w:t>30</w:t>
            </w:r>
          </w:p>
        </w:tc>
      </w:tr>
    </w:tbl>
    <w:p>
      <w:pPr>
        <w:spacing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2"/>
        <w:sz w:val="16"/>
      </w:rPr>
      <w:t xml:space="preserve">Operating Agreement — Northstar Housing (Synthetic)   |   Page </w:t>
    </w:r>
    <w:r>
      <w:rPr>
        <w:rFonts w:ascii="Calibri" w:hAnsi="Calibri"/>
        <w:color w:val="5B6472"/>
        <w:sz w:val="16"/>
      </w:rPr>
      <w:fldChar w:fldCharType="begin"/>
      <w:instrText xml:space="preserve">PAGE</w:instrText>
      <w:fldChar w:fldCharType="end"/>
    </w:r>
    <w:r>
      <w:rPr>
        <w:rFonts w:ascii="Calibri" w:hAnsi="Calibri"/>
        <w:color w:val="5B6472"/>
        <w:sz w:val="16"/>
      </w:rPr>
      <w:t xml:space="preserve"> of </w:t>
    </w:r>
    <w:r>
      <w:rPr>
        <w:rFonts w:ascii="Calibri" w:hAnsi="Calibri"/>
        <w:color w:val="5B6472"/>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8963E"/>
      </w:pBdr>
    </w:pPr>
    <w:r>
      <w:rPr>
        <w:rFonts w:ascii="Georgia" w:hAnsi="Georgia"/>
        <w:b/>
        <w:color w:val="0B1F3A"/>
        <w:sz w:val="16"/>
      </w:rPr>
      <w:t>TESSERA GROUP</w:t>
    </w:r>
    <w:r>
      <w:rPr>
        <w:rFonts w:ascii="Calibri" w:hAnsi="Calibri"/>
        <w:i/>
        <w:color w:val="5B6472"/>
        <w:sz w:val="16"/>
      </w:rPr>
      <w:t xml:space="preserve">   |   Draft —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Housing (Synthetic)</dc:title>
  <dc:subject>Draft agreement for qualified counsel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