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jc w:val="center"/>
      </w:pPr>
      <w:r>
        <w:rPr>
          <w:b/>
          <w:bCs/>
          <w:color w:val="0A3F27"/>
          <w:sz w:val="44"/>
          <w:szCs w:val="44"/>
        </w:rPr>
        <w:t xml:space="preserve">ERICK JANGANYA FOUNDATION</w:t>
      </w:r>
    </w:p>
    <w:p>
      <w:pPr>
        <w:spacing w:after="40" w:before="140"/>
        <w:jc w:val="center"/>
      </w:pPr>
      <w:r>
        <w:rPr>
          <w:color w:val="5B6570"/>
          <w:sz w:val="28"/>
          <w:szCs w:val="28"/>
        </w:rPr>
        <w:t xml:space="preserve">Digital Platform Wireframe</w:t>
      </w:r>
    </w:p>
    <w:p>
      <w:pPr>
        <w:spacing w:after="500"/>
        <w:jc w:val="center"/>
      </w:pPr>
      <w:r>
        <w:rPr>
          <w:i/>
          <w:iCs/>
          <w:color w:val="C89B3C"/>
          <w:sz w:val="24"/>
          <w:szCs w:val="24"/>
        </w:rPr>
        <w:t xml:space="preserve">Presentation Guide &amp; Section-by-Section Manual</w:t>
      </w:r>
    </w:p>
    <w:p>
      <w:pPr>
        <w:jc w:val="center"/>
      </w:pPr>
      <w:r>
        <w:rPr>
          <w:color w:val="5B6570"/>
          <w:sz w:val="20"/>
          <w:szCs w:val="20"/>
        </w:rPr>
        <w:t xml:space="preserve">Prepared for client review — Wireframe stage, no live content</w:t>
      </w:r>
    </w:p>
    <w:p>
      <w:r>
        <w:br w:type="page"/>
      </w:r>
    </w:p>
    <w:p>
      <w:pPr>
        <w:pStyle w:val="Heading1"/>
        <w:pBdr>
          <w:bottom w:val="single" w:color="C89B3C" w:sz="8" w:space="4"/>
        </w:pBdr>
        <w:spacing w:after="180" w:before="420"/>
      </w:pPr>
      <w:r>
        <w:rPr>
          <w:b/>
          <w:bCs/>
          <w:color w:val="0A3F27"/>
        </w:rPr>
        <w:t xml:space="preserve">1. How to use this prototype</w:t>
      </w:r>
    </w:p>
    <w:p>
      <w:pPr>
        <w:spacing w:after="160"/>
      </w:pPr>
      <w:r>
        <w:rPr>
          <w:color w:val="15191B"/>
          <w:sz w:val="21"/>
          <w:szCs w:val="21"/>
        </w:rPr>
        <w:t xml:space="preserve">The file you're presenting from is a single interactive HTML page that behaves like the real site — every button, tab and card is clickable — but no real content has been entered yet. Anything shown in [square brackets], or as a grey diagonal-striped block, is a placeholder the client's team will supply later. Everything else — layout, navigation, colour system, and the working interactions — is close to what the finished platform will look and feel like.</w:t>
      </w:r>
    </w:p>
    <w:p>
      <w:pPr>
        <w:pStyle w:val="Heading2"/>
        <w:spacing w:after="80" w:before="300"/>
      </w:pPr>
      <w:r>
        <w:rPr>
          <w:b/>
          <w:bCs/>
          <w:color w:val="0F5C38"/>
        </w:rPr>
        <w:t xml:space="preserve">The dark bar at the top (prototype navigator only)</w:t>
      </w:r>
    </w:p>
    <w:p>
      <w:pPr>
        <w:spacing w:after="160"/>
      </w:pPr>
      <w:r>
        <w:rPr>
          <w:color w:val="15191B"/>
          <w:sz w:val="21"/>
          <w:szCs w:val="21"/>
        </w:rPr>
        <w:t xml:space="preserve">This bar does not exist on the real site — it's a review tool so we can jump between screens quickly during the pitch.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5191B"/>
          <w:sz w:val="21"/>
          <w:szCs w:val="21"/>
        </w:rPr>
        <w:t xml:space="preserve">Mode toggle — switches between "Public site" (what residents and supporters see) and "Admin / CMS" (what the foundation's team uses to manage content).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5191B"/>
          <w:sz w:val="21"/>
          <w:szCs w:val="21"/>
        </w:rPr>
        <w:t xml:space="preserve">Screen tabs — one click jumps straight to any page, in either mode, without needing to click through the real navigation.</w:t>
      </w:r>
    </w:p>
    <w:p>
      <w:pPr>
        <w:spacing w:after="200"/>
      </w:pPr>
    </w:p>
    <w:p>
      <w:pPr>
        <w:pStyle w:val="Heading1"/>
        <w:pBdr>
          <w:bottom w:val="single" w:color="C89B3C" w:sz="8" w:space="4"/>
        </w:pBdr>
        <w:spacing w:after="180" w:before="420"/>
      </w:pPr>
      <w:r>
        <w:rPr>
          <w:b/>
          <w:bCs/>
          <w:color w:val="0A3F27"/>
        </w:rPr>
        <w:t xml:space="preserve">2. Public site — elements that appear on every page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92"/>
      </w:tblGrid>
      <w:tr>
        <w:trPr>
          <w:tblHeader/>
        </w:trPr>
        <w:tc>
          <w:tcPr>
            <w:tcW w:type="dxa" w:w="2500"/>
            <w:shd w:fill="0F5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292"/>
            <w:shd w:fill="0F5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 / why it's there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Logo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The "EJ" mark and Erick Janganya / Foundation wordmark — links back to Home from anywhere.</w:t>
            </w:r>
          </w:p>
        </w:tc>
      </w:tr>
      <w:tr>
        <w:tc>
          <w:tcPr>
            <w:tcW w:type="dxa" w:w="2500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Navigation menu</w:t>
            </w:r>
          </w:p>
        </w:tc>
        <w:tc>
          <w:tcPr>
            <w:tcW w:type="dxa" w:w="7292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Grouped into dropdowns (About, Progress, Media) plus direct links (Community, Events, Contact) so ten-plus destinations don't clutter a flat bar.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"Support the cause" button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The one primary call-to-action repeated in the header on every page — always the same colour, always the same place, so it's never hard to find.</w:t>
            </w:r>
          </w:p>
        </w:tc>
      </w:tr>
      <w:tr>
        <w:tc>
          <w:tcPr>
            <w:tcW w:type="dxa" w:w="2500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Mobile menu (hamburger)</w:t>
            </w:r>
          </w:p>
        </w:tc>
        <w:tc>
          <w:tcPr>
            <w:tcW w:type="dxa" w:w="7292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Below tablet width, the dropdown nav is replaced with a full-screen slide-out menu — this is a real, working mobile navigation, not a placeholder.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Footer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Mission line, social links, an Explore menu mirroring the main navigation, Get Involved shortcuts, and office contact details — repeated so anyone who scrolls straight to the bottom of any page can still find their way.</w:t>
            </w:r>
          </w:p>
        </w:tc>
      </w:tr>
    </w:tbl>
    <w:p>
      <w:pPr>
        <w:spacing w:after="260"/>
      </w:pPr>
    </w:p>
    <w:p>
      <w:r>
        <w:br w:type="page"/>
      </w:r>
    </w:p>
    <w:p>
      <w:pPr>
        <w:pStyle w:val="Heading1"/>
        <w:pBdr>
          <w:bottom w:val="single" w:color="C89B3C" w:sz="8" w:space="4"/>
        </w:pBdr>
        <w:spacing w:after="180" w:before="420"/>
      </w:pPr>
      <w:r>
        <w:rPr>
          <w:b/>
          <w:bCs/>
          <w:color w:val="0A3F27"/>
        </w:rPr>
        <w:t xml:space="preserve">3. Public site — page by page</w:t>
      </w:r>
    </w:p>
    <w:p>
      <w:pPr>
        <w:pStyle w:val="Heading2"/>
        <w:spacing w:after="80" w:before="300"/>
      </w:pPr>
      <w:r>
        <w:rPr>
          <w:b/>
          <w:bCs/>
          <w:color w:val="0F5C38"/>
        </w:rPr>
        <w:t xml:space="preserve">3.1 Home</w:t>
      </w:r>
    </w:p>
    <w:p>
      <w:pPr>
        <w:spacing w:after="160"/>
      </w:pPr>
      <w:r>
        <w:rPr>
          <w:b/>
          <w:bCs/>
          <w:i/>
          <w:iCs/>
          <w:color w:val="5B6570"/>
          <w:sz w:val="20"/>
          <w:szCs w:val="20"/>
        </w:rPr>
        <w:t xml:space="preserve">Purpose: </w:t>
      </w:r>
      <w:r>
        <w:rPr>
          <w:i/>
          <w:iCs/>
          <w:color w:val="5B6570"/>
          <w:sz w:val="20"/>
          <w:szCs w:val="20"/>
        </w:rPr>
        <w:t xml:space="preserve">The entry point — leads with proof rather than a photograph, then routes each visitor toward the tracker, the story, or a way to help.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92"/>
      </w:tblGrid>
      <w:tr>
        <w:trPr>
          <w:tblHeader/>
        </w:trPr>
        <w:tc>
          <w:tcPr>
            <w:tcW w:type="dxa" w:w="2500"/>
            <w:shd w:fill="0F5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292"/>
            <w:shd w:fill="0F5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 / why it's there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Trust-line badge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A one-line, always-visible summary of the platform's core numbers (projects tracked, promises delivered, last updated). Sets the tone immediately: this is a public record, not a campaign poster.</w:t>
            </w:r>
          </w:p>
        </w:tc>
      </w:tr>
      <w:tr>
        <w:tc>
          <w:tcPr>
            <w:tcW w:type="dxa" w:w="2500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Hero headline &amp; buttons</w:t>
            </w:r>
          </w:p>
        </w:tc>
        <w:tc>
          <w:tcPr>
            <w:tcW w:type="dxa" w:w="7292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Campaign headline plus two entry points — "See the progress tracker" and "Erick's story" — so a visitor can self-select what they came for.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Hero stat row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Four numbers (projects, wards, % delivered, events) that count up on load for a strong, animated first impression of scale.</w:t>
            </w:r>
          </w:p>
        </w:tc>
      </w:tr>
      <w:tr>
        <w:tc>
          <w:tcPr>
            <w:tcW w:type="dxa" w:w="2500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News ticker</w:t>
            </w:r>
          </w:p>
        </w:tc>
        <w:tc>
          <w:tcPr>
            <w:tcW w:type="dxa" w:w="7292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A single rotating line for the latest update, so a returning visitor sees something new without hunting for it.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"Why this foundation" cards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Four short cards — transparency, community-led, measurable delivery, open to everyone — the pitch for why this platform exists at all.</w:t>
            </w:r>
          </w:p>
        </w:tc>
      </w:tr>
      <w:tr>
        <w:tc>
          <w:tcPr>
            <w:tcW w:type="dxa" w:w="2500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Development tracker preview</w:t>
            </w:r>
          </w:p>
        </w:tc>
        <w:tc>
          <w:tcPr>
            <w:tcW w:type="dxa" w:w="7292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Three live project cards pulled from the Tracker page with a "view full tracker" link — proves the tracker is real without forcing a click through.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"Erick in the field" media strip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Four media tiles previewing the Media Centre — signals a constant stream of real, ongoing activity.</w:t>
            </w:r>
          </w:p>
        </w:tc>
      </w:tr>
      <w:tr>
        <w:tc>
          <w:tcPr>
            <w:tcW w:type="dxa" w:w="2500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Get Involved banner</w:t>
            </w:r>
          </w:p>
        </w:tc>
        <w:tc>
          <w:tcPr>
            <w:tcW w:type="dxa" w:w="7292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Closing call to action before the footer, for anyone ready to support right away.</w:t>
            </w:r>
          </w:p>
        </w:tc>
      </w:tr>
    </w:tbl>
    <w:p>
      <w:pPr>
        <w:spacing w:after="260"/>
      </w:pPr>
    </w:p>
    <w:p>
      <w:pPr>
        <w:pStyle w:val="Heading2"/>
        <w:spacing w:after="80" w:before="300"/>
      </w:pPr>
      <w:r>
        <w:rPr>
          <w:b/>
          <w:bCs/>
          <w:color w:val="0F5C38"/>
        </w:rPr>
        <w:t xml:space="preserve">3.2 About Erick</w:t>
      </w:r>
    </w:p>
    <w:p>
      <w:pPr>
        <w:spacing w:after="160"/>
      </w:pPr>
      <w:r>
        <w:rPr>
          <w:b/>
          <w:bCs/>
          <w:i/>
          <w:iCs/>
          <w:color w:val="5B6570"/>
          <w:sz w:val="20"/>
          <w:szCs w:val="20"/>
        </w:rPr>
        <w:t xml:space="preserve">Purpose: </w:t>
      </w:r>
      <w:r>
        <w:rPr>
          <w:i/>
          <w:iCs/>
          <w:color w:val="5B6570"/>
          <w:sz w:val="20"/>
          <w:szCs w:val="20"/>
        </w:rPr>
        <w:t xml:space="preserve">The personal story — who he is and where the journey is headed — told as an open-ended timeline rather than a closed biography.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92"/>
      </w:tblGrid>
      <w:tr>
        <w:trPr>
          <w:tblHeader/>
        </w:trPr>
        <w:tc>
          <w:tcPr>
            <w:tcW w:type="dxa" w:w="2500"/>
            <w:shd w:fill="0F5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292"/>
            <w:shd w:fill="0F5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 / why it's there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Intro block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Portrait placeholder, name, and a short personal introduction — establishes the person behind the foundation.</w:t>
            </w:r>
          </w:p>
        </w:tc>
      </w:tr>
      <w:tr>
        <w:tc>
          <w:tcPr>
            <w:tcW w:type="dxa" w:w="2500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"The journey" timeline</w:t>
            </w:r>
          </w:p>
        </w:tc>
        <w:tc>
          <w:tcPr>
            <w:tcW w:type="dxa" w:w="7292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A chronological record from early career through to a deliberately open "beyond" entry, so future terms extend the record instead of replacing it.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Vision preview cards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Three short position statements (economy, health, education) — a taste of the full Vision page without duplicating it.</w:t>
            </w:r>
          </w:p>
        </w:tc>
      </w:tr>
    </w:tbl>
    <w:p>
      <w:pPr>
        <w:spacing w:after="260"/>
      </w:pPr>
    </w:p>
    <w:p>
      <w:pPr>
        <w:pStyle w:val="Heading2"/>
        <w:spacing w:after="80" w:before="300"/>
      </w:pPr>
      <w:r>
        <w:rPr>
          <w:b/>
          <w:bCs/>
          <w:color w:val="0F5C38"/>
        </w:rPr>
        <w:t xml:space="preserve">3.3 The Foundation</w:t>
      </w:r>
    </w:p>
    <w:p>
      <w:pPr>
        <w:spacing w:after="160"/>
      </w:pPr>
      <w:r>
        <w:rPr>
          <w:b/>
          <w:bCs/>
          <w:i/>
          <w:iCs/>
          <w:color w:val="5B6570"/>
          <w:sz w:val="20"/>
          <w:szCs w:val="20"/>
        </w:rPr>
        <w:t xml:space="preserve">Purpose: </w:t>
      </w:r>
      <w:r>
        <w:rPr>
          <w:i/>
          <w:iCs/>
          <w:color w:val="5B6570"/>
          <w:sz w:val="20"/>
          <w:szCs w:val="20"/>
        </w:rPr>
        <w:t xml:space="preserve">Establishes the foundation as an institution in its own right — its mission, principles, and where its work is concentrated.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92"/>
      </w:tblGrid>
      <w:tr>
        <w:trPr>
          <w:tblHeader/>
        </w:trPr>
        <w:tc>
          <w:tcPr>
            <w:tcW w:type="dxa" w:w="2500"/>
            <w:shd w:fill="0F5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292"/>
            <w:shd w:fill="0F5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 / why it's there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Mission statement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Defines the foundation as a public, continuously-updated record — sets the reader's expectations for every page that follows.</w:t>
            </w:r>
          </w:p>
        </w:tc>
      </w:tr>
      <w:tr>
        <w:tc>
          <w:tcPr>
            <w:tcW w:type="dxa" w:w="2500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Core principles grid</w:t>
            </w:r>
          </w:p>
        </w:tc>
        <w:tc>
          <w:tcPr>
            <w:tcW w:type="dxa" w:w="7292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Four values (accountability, transparency, sustainable development, integrity) that the rest of the platform exists to prove, not just claim.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Focus areas grid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Health, education, infrastructure — the broad categories that the Progress Tracker's project categories map onto.</w:t>
            </w:r>
          </w:p>
        </w:tc>
      </w:tr>
    </w:tbl>
    <w:p>
      <w:pPr>
        <w:spacing w:after="260"/>
      </w:pPr>
    </w:p>
    <w:p>
      <w:pPr>
        <w:pStyle w:val="Heading2"/>
        <w:spacing w:after="80" w:before="300"/>
      </w:pPr>
      <w:r>
        <w:rPr>
          <w:b/>
          <w:bCs/>
          <w:color w:val="0F5C38"/>
        </w:rPr>
        <w:t xml:space="preserve">3.4 Vision</w:t>
      </w:r>
    </w:p>
    <w:p>
      <w:pPr>
        <w:spacing w:after="160"/>
      </w:pPr>
      <w:r>
        <w:rPr>
          <w:b/>
          <w:bCs/>
          <w:i/>
          <w:iCs/>
          <w:color w:val="5B6570"/>
          <w:sz w:val="20"/>
          <w:szCs w:val="20"/>
        </w:rPr>
        <w:t xml:space="preserve">Purpose: </w:t>
      </w:r>
      <w:r>
        <w:rPr>
          <w:i/>
          <w:iCs/>
          <w:color w:val="5B6570"/>
          <w:sz w:val="20"/>
          <w:szCs w:val="20"/>
        </w:rPr>
        <w:t xml:space="preserve">The forward-looking page — what success looks like years from now, and why the platform is built to outlast one election.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92"/>
      </w:tblGrid>
      <w:tr>
        <w:trPr>
          <w:tblHeader/>
        </w:trPr>
        <w:tc>
          <w:tcPr>
            <w:tcW w:type="dxa" w:w="2500"/>
            <w:shd w:fill="0F5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292"/>
            <w:shd w:fill="0F5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 / why it's there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Intro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Frames the long-term ambition beyond a single term in office.</w:t>
            </w:r>
          </w:p>
        </w:tc>
      </w:tr>
      <w:tr>
        <w:tc>
          <w:tcPr>
            <w:tcW w:type="dxa" w:w="2500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Priorities grid</w:t>
            </w:r>
          </w:p>
        </w:tc>
        <w:tc>
          <w:tcPr>
            <w:tcW w:type="dxa" w:w="7292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Healthcare, education, housing, youth — long-term outcomes, distinct from The Foundation's values.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"Beyond the election" note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States plainly that the platform evolves from candidate site, to campaign site, to MP accountability platform, to long-term development record — the idea that separates this from an ordinary campaign website.</w:t>
            </w:r>
          </w:p>
        </w:tc>
      </w:tr>
    </w:tbl>
    <w:p>
      <w:pPr>
        <w:spacing w:after="260"/>
      </w:pPr>
    </w:p>
    <w:p>
      <w:pPr>
        <w:pStyle w:val="Heading2"/>
        <w:spacing w:after="80" w:before="300"/>
      </w:pPr>
      <w:r>
        <w:rPr>
          <w:b/>
          <w:bCs/>
          <w:color w:val="0F5C38"/>
        </w:rPr>
        <w:t xml:space="preserve">3.5 Progress Tracker</w:t>
      </w:r>
    </w:p>
    <w:p>
      <w:pPr>
        <w:spacing w:after="160"/>
      </w:pPr>
      <w:r>
        <w:rPr>
          <w:b/>
          <w:bCs/>
          <w:i/>
          <w:iCs/>
          <w:color w:val="5B6570"/>
          <w:sz w:val="20"/>
          <w:szCs w:val="20"/>
        </w:rPr>
        <w:t xml:space="preserve">Purpose: </w:t>
      </w:r>
      <w:r>
        <w:rPr>
          <w:i/>
          <w:iCs/>
          <w:color w:val="5B6570"/>
          <w:sz w:val="20"/>
          <w:szCs w:val="20"/>
        </w:rPr>
        <w:t xml:space="preserve">The platform's core feature — a public, filterable, evidence-backed log of every development project. This is what makes the accountability promise real rather than rhetorical.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92"/>
      </w:tblGrid>
      <w:tr>
        <w:trPr>
          <w:tblHeader/>
        </w:trPr>
        <w:tc>
          <w:tcPr>
            <w:tcW w:type="dxa" w:w="2500"/>
            <w:shd w:fill="0F5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292"/>
            <w:shd w:fill="0F5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 / why it's there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Stat strip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Five animated counters — total, completed, ongoing, planned, wards — the headline numbers for the whole tracker.</w:t>
            </w:r>
          </w:p>
        </w:tc>
      </w:tr>
      <w:tr>
        <w:tc>
          <w:tcPr>
            <w:tcW w:type="dxa" w:w="2500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Ward filter (working)</w:t>
            </w:r>
          </w:p>
        </w:tc>
        <w:tc>
          <w:tcPr>
            <w:tcW w:type="dxa" w:w="7292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One tap on a ward name narrows the entire project grid to that ward, so a resident can answer "what's happening near me" immediately.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Search &amp; category/status filters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Narrows the list by keyword, category, or status without endless scrolling.</w:t>
            </w:r>
          </w:p>
        </w:tc>
      </w:tr>
      <w:tr>
        <w:tc>
          <w:tcPr>
            <w:tcW w:type="dxa" w:w="2500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Interactive map placeholder</w:t>
            </w:r>
          </w:p>
        </w:tc>
        <w:tc>
          <w:tcPr>
            <w:tcW w:type="dxa" w:w="7292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Where a real map of Embakasi South will show project pins colour-coded by status.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Funding source legend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Explains the four attribution tags used on every project card — the platform's core credibility safeguard, so it never implies credit for work it didn't fund or deliver.</w:t>
            </w:r>
          </w:p>
        </w:tc>
      </w:tr>
      <w:tr>
        <w:tc>
          <w:tcPr>
            <w:tcW w:type="dxa" w:w="2500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Project cards</w:t>
            </w:r>
          </w:p>
        </w:tc>
        <w:tc>
          <w:tcPr>
            <w:tcW w:type="dxa" w:w="7292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Photo, ward and category, name, status badge, last-updated date, completion bar, funding-source tag, and a "Follow updates" toggle.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Before/after slider (demo)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Shows how project evidence will be presented once real dated photos exist — drag to compare.</w:t>
            </w:r>
          </w:p>
        </w:tc>
      </w:tr>
    </w:tbl>
    <w:p>
      <w:pPr>
        <w:spacing w:after="260"/>
      </w:pPr>
    </w:p>
    <w:p>
      <w:pPr>
        <w:pStyle w:val="Heading2"/>
        <w:spacing w:after="80" w:before="300"/>
      </w:pPr>
      <w:r>
        <w:rPr>
          <w:b/>
          <w:bCs/>
          <w:color w:val="0F5C38"/>
        </w:rPr>
        <w:t xml:space="preserve">3.6 Promise Scorecard</w:t>
      </w:r>
    </w:p>
    <w:p>
      <w:pPr>
        <w:spacing w:after="160"/>
      </w:pPr>
      <w:r>
        <w:rPr>
          <w:b/>
          <w:bCs/>
          <w:i/>
          <w:iCs/>
          <w:color w:val="5B6570"/>
          <w:sz w:val="20"/>
          <w:szCs w:val="20"/>
        </w:rPr>
        <w:t xml:space="preserve">Purpose: </w:t>
      </w:r>
      <w:r>
        <w:rPr>
          <w:i/>
          <w:iCs/>
          <w:color w:val="5B6570"/>
          <w:sz w:val="20"/>
          <w:szCs w:val="20"/>
        </w:rPr>
        <w:t xml:space="preserve">Tracks what was promised against what's been delivered — modelled on Kenya's own Mzalendo.com MP-tracking approach, so it reads as a credible, familiar civic format rather than a marketing tool.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92"/>
      </w:tblGrid>
      <w:tr>
        <w:trPr>
          <w:tblHeader/>
        </w:trPr>
        <w:tc>
          <w:tcPr>
            <w:tcW w:type="dxa" w:w="2500"/>
            <w:shd w:fill="0F5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292"/>
            <w:shd w:fill="0F5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 / why it's there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Timeframe tabs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Filters promises into first-100-days, short, medium and long-term commitments.</w:t>
            </w:r>
          </w:p>
        </w:tc>
      </w:tr>
      <w:tr>
        <w:tc>
          <w:tcPr>
            <w:tcW w:type="dxa" w:w="2500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Promise rows</w:t>
            </w:r>
          </w:p>
        </w:tc>
        <w:tc>
          <w:tcPr>
            <w:tcW w:type="dxa" w:w="7292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Each entry shows the promise, its timeframe, and a plain status — delivered, in progress, or not yet started. Including "not yet started" is deliberate, so the page can't be accused of only showing wins.</w:t>
            </w:r>
          </w:p>
        </w:tc>
      </w:tr>
    </w:tbl>
    <w:p>
      <w:pPr>
        <w:spacing w:after="260"/>
      </w:pPr>
    </w:p>
    <w:p>
      <w:pPr>
        <w:pStyle w:val="Heading2"/>
        <w:spacing w:after="80" w:before="300"/>
      </w:pPr>
      <w:r>
        <w:rPr>
          <w:b/>
          <w:bCs/>
          <w:color w:val="0F5C38"/>
        </w:rPr>
        <w:t xml:space="preserve">3.7 Community</w:t>
      </w:r>
    </w:p>
    <w:p>
      <w:pPr>
        <w:spacing w:after="160"/>
      </w:pPr>
      <w:r>
        <w:rPr>
          <w:b/>
          <w:bCs/>
          <w:i/>
          <w:iCs/>
          <w:color w:val="5B6570"/>
          <w:sz w:val="20"/>
          <w:szCs w:val="20"/>
        </w:rPr>
        <w:t xml:space="preserve">Purpose: </w:t>
      </w:r>
      <w:r>
        <w:rPr>
          <w:i/>
          <w:iCs/>
          <w:color w:val="5B6570"/>
          <w:sz w:val="20"/>
          <w:szCs w:val="20"/>
        </w:rPr>
        <w:t xml:space="preserve">Puts residents at the centre of the story instead of Erick alone — both to humanise the platform and to open a direct feedback channel.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92"/>
      </w:tblGrid>
      <w:tr>
        <w:trPr>
          <w:tblHeader/>
        </w:trPr>
        <w:tc>
          <w:tcPr>
            <w:tcW w:type="dxa" w:w="2500"/>
            <w:shd w:fill="0F5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292"/>
            <w:shd w:fill="0F5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 / why it's there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Community voices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Testimonial-style cards from residents and local leaders — proof that real people are affected, not just that projects were completed.</w:t>
            </w:r>
          </w:p>
        </w:tc>
      </w:tr>
      <w:tr>
        <w:tc>
          <w:tcPr>
            <w:tcW w:type="dxa" w:w="2500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"Submit a need" form</w:t>
            </w:r>
          </w:p>
        </w:tc>
        <w:tc>
          <w:tcPr>
            <w:tcW w:type="dxa" w:w="7292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Lets any resident flag an issue by ward and description, feeding directly into the tracker for review — turns the platform from one-way broadcasting into a two-way channel.</w:t>
            </w:r>
          </w:p>
        </w:tc>
      </w:tr>
    </w:tbl>
    <w:p>
      <w:pPr>
        <w:spacing w:after="260"/>
      </w:pPr>
    </w:p>
    <w:p>
      <w:pPr>
        <w:pStyle w:val="Heading2"/>
        <w:spacing w:after="80" w:before="300"/>
      </w:pPr>
      <w:r>
        <w:rPr>
          <w:b/>
          <w:bCs/>
          <w:color w:val="0F5C38"/>
        </w:rPr>
        <w:t xml:space="preserve">3.8 Media Centre</w:t>
      </w:r>
    </w:p>
    <w:p>
      <w:pPr>
        <w:spacing w:after="160"/>
      </w:pPr>
      <w:r>
        <w:rPr>
          <w:b/>
          <w:bCs/>
          <w:i/>
          <w:iCs/>
          <w:color w:val="5B6570"/>
          <w:sz w:val="20"/>
          <w:szCs w:val="20"/>
        </w:rPr>
        <w:t xml:space="preserve">Purpose: </w:t>
      </w:r>
      <w:r>
        <w:rPr>
          <w:i/>
          <w:iCs/>
          <w:color w:val="5B6570"/>
          <w:sz w:val="20"/>
          <w:szCs w:val="20"/>
        </w:rPr>
        <w:t xml:space="preserve">The archive of everything recorded — field visits, interviews, press appearances — organised so it's browsable, not a dump of files.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92"/>
      </w:tblGrid>
      <w:tr>
        <w:trPr>
          <w:tblHeader/>
        </w:trPr>
        <w:tc>
          <w:tcPr>
            <w:tcW w:type="dxa" w:w="2500"/>
            <w:shd w:fill="0F5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292"/>
            <w:shd w:fill="0F5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 / why it's there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Category tabs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Watch (video), Listen (audio/podcasts), Field visits, Interviews &amp; panels, Press, Documents &amp; reports.</w:t>
            </w:r>
          </w:p>
        </w:tc>
      </w:tr>
      <w:tr>
        <w:tc>
          <w:tcPr>
            <w:tcW w:type="dxa" w:w="2500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Media grid</w:t>
            </w:r>
          </w:p>
        </w:tc>
        <w:tc>
          <w:tcPr>
            <w:tcW w:type="dxa" w:w="7292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Type-specific icons (play button, waveform, document) so visitors know what they're opening before they click.</w:t>
            </w:r>
          </w:p>
        </w:tc>
      </w:tr>
    </w:tbl>
    <w:p>
      <w:pPr>
        <w:spacing w:after="260"/>
      </w:pPr>
    </w:p>
    <w:p>
      <w:pPr>
        <w:pStyle w:val="Heading2"/>
        <w:spacing w:after="80" w:before="300"/>
      </w:pPr>
      <w:r>
        <w:rPr>
          <w:b/>
          <w:bCs/>
          <w:color w:val="0F5C38"/>
        </w:rPr>
        <w:t xml:space="preserve">3.9 News &amp; Press</w:t>
      </w:r>
    </w:p>
    <w:p>
      <w:pPr>
        <w:spacing w:after="160"/>
      </w:pPr>
      <w:r>
        <w:rPr>
          <w:b/>
          <w:bCs/>
          <w:i/>
          <w:iCs/>
          <w:color w:val="5B6570"/>
          <w:sz w:val="20"/>
          <w:szCs w:val="20"/>
        </w:rPr>
        <w:t xml:space="preserve">Purpose: </w:t>
      </w:r>
      <w:r>
        <w:rPr>
          <w:i/>
          <w:iCs/>
          <w:color w:val="5B6570"/>
          <w:sz w:val="20"/>
          <w:szCs w:val="20"/>
        </w:rPr>
        <w:t xml:space="preserve">Standard press/blog page for articles, statements and coverage — keeps long-form writing off the Home page.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92"/>
      </w:tblGrid>
      <w:tr>
        <w:trPr>
          <w:tblHeader/>
        </w:trPr>
        <w:tc>
          <w:tcPr>
            <w:tcW w:type="dxa" w:w="2500"/>
            <w:shd w:fill="0F5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292"/>
            <w:shd w:fill="0F5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 / why it's there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News grid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Photo, date, headline and excerpt per article, newest first.</w:t>
            </w:r>
          </w:p>
        </w:tc>
      </w:tr>
    </w:tbl>
    <w:p>
      <w:pPr>
        <w:spacing w:after="260"/>
      </w:pPr>
    </w:p>
    <w:p>
      <w:pPr>
        <w:pStyle w:val="Heading2"/>
        <w:spacing w:after="80" w:before="300"/>
      </w:pPr>
      <w:r>
        <w:rPr>
          <w:b/>
          <w:bCs/>
          <w:color w:val="0F5C38"/>
        </w:rPr>
        <w:t xml:space="preserve">3.10 Events</w:t>
      </w:r>
    </w:p>
    <w:p>
      <w:pPr>
        <w:spacing w:after="160"/>
      </w:pPr>
      <w:r>
        <w:rPr>
          <w:b/>
          <w:bCs/>
          <w:i/>
          <w:iCs/>
          <w:color w:val="5B6570"/>
          <w:sz w:val="20"/>
          <w:szCs w:val="20"/>
        </w:rPr>
        <w:t xml:space="preserve">Purpose: </w:t>
      </w:r>
      <w:r>
        <w:rPr>
          <w:i/>
          <w:iCs/>
          <w:color w:val="5B6570"/>
          <w:sz w:val="20"/>
          <w:szCs w:val="20"/>
        </w:rPr>
        <w:t xml:space="preserve">Where to physically meet Erick or attend a foundation activity — turns the platform from something you read into something you can show up to.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92"/>
      </w:tblGrid>
      <w:tr>
        <w:trPr>
          <w:tblHeader/>
        </w:trPr>
        <w:tc>
          <w:tcPr>
            <w:tcW w:type="dxa" w:w="2500"/>
            <w:shd w:fill="0F5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292"/>
            <w:shd w:fill="0F5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 / why it's there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Event list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Date, title and venue for each upcoming (and eventually past) event.</w:t>
            </w:r>
          </w:p>
        </w:tc>
      </w:tr>
      <w:tr>
        <w:tc>
          <w:tcPr>
            <w:tcW w:type="dxa" w:w="2500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Calendar placeholder</w:t>
            </w:r>
          </w:p>
        </w:tc>
        <w:tc>
          <w:tcPr>
            <w:tcW w:type="dxa" w:w="7292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Where a full month-view calendar will sit.</w:t>
            </w:r>
          </w:p>
        </w:tc>
      </w:tr>
    </w:tbl>
    <w:p>
      <w:pPr>
        <w:spacing w:after="260"/>
      </w:pPr>
    </w:p>
    <w:p>
      <w:pPr>
        <w:pStyle w:val="Heading2"/>
        <w:spacing w:after="80" w:before="300"/>
      </w:pPr>
      <w:r>
        <w:rPr>
          <w:b/>
          <w:bCs/>
          <w:color w:val="0F5C38"/>
        </w:rPr>
        <w:t xml:space="preserve">3.11 Get Involved</w:t>
      </w:r>
    </w:p>
    <w:p>
      <w:pPr>
        <w:spacing w:after="160"/>
      </w:pPr>
      <w:r>
        <w:rPr>
          <w:b/>
          <w:bCs/>
          <w:i/>
          <w:iCs/>
          <w:color w:val="5B6570"/>
          <w:sz w:val="20"/>
          <w:szCs w:val="20"/>
        </w:rPr>
        <w:t xml:space="preserve">Purpose: </w:t>
      </w:r>
      <w:r>
        <w:rPr>
          <w:i/>
          <w:iCs/>
          <w:color w:val="5B6570"/>
          <w:sz w:val="20"/>
          <w:szCs w:val="20"/>
        </w:rPr>
        <w:t xml:space="preserve">Converts interest into support — cash, goods, or time — for local residents and the diaspora alike.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92"/>
      </w:tblGrid>
      <w:tr>
        <w:trPr>
          <w:tblHeader/>
        </w:trPr>
        <w:tc>
          <w:tcPr>
            <w:tcW w:type="dxa" w:w="2500"/>
            <w:shd w:fill="0F5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292"/>
            <w:shd w:fill="0F5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 / why it's there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Give cash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One-time or recurring donation directed to a chosen project. Payment options include M-Pesa (the dominant local rail) alongside card, bank transfer and PayPal for diaspora donors.</w:t>
            </w:r>
          </w:p>
        </w:tc>
      </w:tr>
      <w:tr>
        <w:tc>
          <w:tcPr>
            <w:tcW w:type="dxa" w:w="2500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Give goods</w:t>
            </w:r>
          </w:p>
        </w:tc>
        <w:tc>
          <w:tcPr>
            <w:tcW w:type="dxa" w:w="7292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In-kind donations — clothes, shoes, supplies — with drop-off and shipping guidance.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Volunteer / partner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Registration path for individuals and organisations wanting to give time or partner formally.</w:t>
            </w:r>
          </w:p>
        </w:tc>
      </w:tr>
      <w:tr>
        <w:tc>
          <w:tcPr>
            <w:tcW w:type="dxa" w:w="2500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Trust reassurance banner</w:t>
            </w:r>
          </w:p>
        </w:tc>
        <w:tc>
          <w:tcPr>
            <w:tcW w:type="dxa" w:w="7292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Explicitly links every gift back to the tracker — reinforcing that donations are traceable to an outcome, not just a promise.</w:t>
            </w:r>
          </w:p>
        </w:tc>
      </w:tr>
    </w:tbl>
    <w:p>
      <w:pPr>
        <w:spacing w:after="260"/>
      </w:pPr>
    </w:p>
    <w:p>
      <w:pPr>
        <w:pStyle w:val="Heading2"/>
        <w:spacing w:after="80" w:before="300"/>
      </w:pPr>
      <w:r>
        <w:rPr>
          <w:b/>
          <w:bCs/>
          <w:color w:val="0F5C38"/>
        </w:rPr>
        <w:t xml:space="preserve">3.12 Contact</w:t>
      </w:r>
    </w:p>
    <w:p>
      <w:pPr>
        <w:spacing w:after="160"/>
      </w:pPr>
      <w:r>
        <w:rPr>
          <w:b/>
          <w:bCs/>
          <w:i/>
          <w:iCs/>
          <w:color w:val="5B6570"/>
          <w:sz w:val="20"/>
          <w:szCs w:val="20"/>
        </w:rPr>
        <w:t xml:space="preserve">Purpose: </w:t>
      </w:r>
      <w:r>
        <w:rPr>
          <w:i/>
          <w:iCs/>
          <w:color w:val="5B6570"/>
          <w:sz w:val="20"/>
          <w:szCs w:val="20"/>
        </w:rPr>
        <w:t xml:space="preserve">Direct line to the foundation for residents, press and partners, routed appropriately.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92"/>
      </w:tblGrid>
      <w:tr>
        <w:trPr>
          <w:tblHeader/>
        </w:trPr>
        <w:tc>
          <w:tcPr>
            <w:tcW w:type="dxa" w:w="2500"/>
            <w:shd w:fill="0F5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292"/>
            <w:shd w:fill="0F5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 / why it's there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Contact form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Name, email, role (resident / journalist / partner / donor) and message — the role field lets the admin team route each enquiry correctly.</w:t>
            </w:r>
          </w:p>
        </w:tc>
      </w:tr>
      <w:tr>
        <w:tc>
          <w:tcPr>
            <w:tcW w:type="dxa" w:w="2500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Office info card</w:t>
            </w:r>
          </w:p>
        </w:tc>
        <w:tc>
          <w:tcPr>
            <w:tcW w:type="dxa" w:w="7292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Physical address, phone, hours.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Press contact card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A separate, dedicated contact for media requests.</w:t>
            </w:r>
          </w:p>
        </w:tc>
      </w:tr>
      <w:tr>
        <w:tc>
          <w:tcPr>
            <w:tcW w:type="dxa" w:w="2500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Map placeholder</w:t>
            </w:r>
          </w:p>
        </w:tc>
        <w:tc>
          <w:tcPr>
            <w:tcW w:type="dxa" w:w="7292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Office location.</w:t>
            </w:r>
          </w:p>
        </w:tc>
      </w:tr>
    </w:tbl>
    <w:p>
      <w:pPr>
        <w:spacing w:after="260"/>
      </w:pPr>
    </w:p>
    <w:p>
      <w:r>
        <w:br w:type="page"/>
      </w:r>
    </w:p>
    <w:p>
      <w:pPr>
        <w:pStyle w:val="Heading1"/>
        <w:pBdr>
          <w:bottom w:val="single" w:color="C89B3C" w:sz="8" w:space="4"/>
        </w:pBdr>
        <w:spacing w:after="180" w:before="420"/>
      </w:pPr>
      <w:r>
        <w:rPr>
          <w:b/>
          <w:bCs/>
          <w:color w:val="0A3F27"/>
        </w:rPr>
        <w:t xml:space="preserve">4. Admin / CMS — the foundation's back office</w:t>
      </w:r>
    </w:p>
    <w:p>
      <w:pPr>
        <w:spacing w:after="160"/>
      </w:pPr>
      <w:r>
        <w:rPr>
          <w:color w:val="15191B"/>
          <w:sz w:val="21"/>
          <w:szCs w:val="21"/>
        </w:rPr>
        <w:t xml:space="preserve">Everything the public site displays has a corresponding place to manage it here. This is what makes the "foundation as a living record" idea operationally real, not just a design promise.</w:t>
      </w:r>
    </w:p>
    <w:p>
      <w:pPr>
        <w:pStyle w:val="Heading2"/>
        <w:spacing w:after="80" w:before="300"/>
      </w:pPr>
      <w:r>
        <w:rPr>
          <w:b/>
          <w:bCs/>
          <w:color w:val="0F5C38"/>
        </w:rPr>
        <w:t xml:space="preserve">4.0 Sidebar navigation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92"/>
      </w:tblGrid>
      <w:tr>
        <w:trPr>
          <w:tblHeader/>
        </w:trPr>
        <w:tc>
          <w:tcPr>
            <w:tcW w:type="dxa" w:w="2500"/>
            <w:shd w:fill="0F5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292"/>
            <w:shd w:fill="0F5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 / why it's there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Dashboard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Built out in this wireframe. Overview of everything happening across the platform.</w:t>
            </w:r>
          </w:p>
        </w:tc>
      </w:tr>
      <w:tr>
        <w:tc>
          <w:tcPr>
            <w:tcW w:type="dxa" w:w="2500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Projects</w:t>
            </w:r>
          </w:p>
        </w:tc>
        <w:tc>
          <w:tcPr>
            <w:tcW w:type="dxa" w:w="7292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Built out. Where field staff log a new project update — the admin-side counterpart to the Progress Tracker.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Media library / News posts / Promises / Community / Events / Supporters / Settings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Included in the navigation to show the complete intended scope. Not yet designed screen-by-screen — each will follow the same pattern as Dashboard and Projects once content requirements are confirmed.</w:t>
            </w:r>
          </w:p>
        </w:tc>
      </w:tr>
      <w:tr>
        <w:tc>
          <w:tcPr>
            <w:tcW w:type="dxa" w:w="2500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Analytics</w:t>
            </w:r>
          </w:p>
        </w:tc>
        <w:tc>
          <w:tcPr>
            <w:tcW w:type="dxa" w:w="7292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Built out. Traffic and engagement reporting.</w:t>
            </w:r>
          </w:p>
        </w:tc>
      </w:tr>
    </w:tbl>
    <w:p>
      <w:pPr>
        <w:spacing w:after="260"/>
      </w:pPr>
    </w:p>
    <w:p>
      <w:pPr>
        <w:pStyle w:val="Heading2"/>
        <w:spacing w:after="80" w:before="300"/>
      </w:pPr>
      <w:r>
        <w:rPr>
          <w:b/>
          <w:bCs/>
          <w:color w:val="0F5C38"/>
        </w:rPr>
        <w:t xml:space="preserve">4.1 Dashboard</w:t>
      </w:r>
    </w:p>
    <w:p>
      <w:pPr>
        <w:spacing w:after="160"/>
      </w:pPr>
      <w:r>
        <w:rPr>
          <w:b/>
          <w:bCs/>
          <w:i/>
          <w:iCs/>
          <w:color w:val="5B6570"/>
          <w:sz w:val="20"/>
          <w:szCs w:val="20"/>
        </w:rPr>
        <w:t xml:space="preserve">Purpose: </w:t>
      </w:r>
      <w:r>
        <w:rPr>
          <w:i/>
          <w:iCs/>
          <w:color w:val="5B6570"/>
          <w:sz w:val="20"/>
          <w:szCs w:val="20"/>
        </w:rPr>
        <w:t xml:space="preserve">The first thing an admin sees on login — a snapshot of activity and the fastest paths to the most common tasks.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92"/>
      </w:tblGrid>
      <w:tr>
        <w:trPr>
          <w:tblHeader/>
        </w:trPr>
        <w:tc>
          <w:tcPr>
            <w:tcW w:type="dxa" w:w="2500"/>
            <w:shd w:fill="0F5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292"/>
            <w:shd w:fill="0F5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 / why it's there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Metric cards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Total projects, media files, promises tracked, and supporter sign-ups, each with a month-over-month change.</w:t>
            </w:r>
          </w:p>
        </w:tc>
      </w:tr>
      <w:tr>
        <w:tc>
          <w:tcPr>
            <w:tcW w:type="dxa" w:w="2500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Recent activity table</w:t>
            </w:r>
          </w:p>
        </w:tc>
        <w:tc>
          <w:tcPr>
            <w:tcW w:type="dxa" w:w="7292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The last several content changes across the platform, so a team can see at a glance what colleagues have been doing.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Quick actions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One-click shortcuts to the four most common tasks — log a project, upload media, write a news post, update a promise.</w:t>
            </w:r>
          </w:p>
        </w:tc>
      </w:tr>
    </w:tbl>
    <w:p>
      <w:pPr>
        <w:spacing w:after="260"/>
      </w:pPr>
    </w:p>
    <w:p>
      <w:pPr>
        <w:pStyle w:val="Heading2"/>
        <w:spacing w:after="80" w:before="300"/>
      </w:pPr>
      <w:r>
        <w:rPr>
          <w:b/>
          <w:bCs/>
          <w:color w:val="0F5C38"/>
        </w:rPr>
        <w:t xml:space="preserve">4.2 Log a project update</w:t>
      </w:r>
    </w:p>
    <w:p>
      <w:pPr>
        <w:spacing w:after="160"/>
      </w:pPr>
      <w:r>
        <w:rPr>
          <w:b/>
          <w:bCs/>
          <w:i/>
          <w:iCs/>
          <w:color w:val="5B6570"/>
          <w:sz w:val="20"/>
          <w:szCs w:val="20"/>
        </w:rPr>
        <w:t xml:space="preserve">Purpose: </w:t>
      </w:r>
      <w:r>
        <w:rPr>
          <w:i/>
          <w:iCs/>
          <w:color w:val="5B6570"/>
          <w:sz w:val="20"/>
          <w:szCs w:val="20"/>
        </w:rPr>
        <w:t xml:space="preserve">The core admin workflow — this is how a project actually gets created and updated on the public Tracker page.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92"/>
      </w:tblGrid>
      <w:tr>
        <w:trPr>
          <w:tblHeader/>
        </w:trPr>
        <w:tc>
          <w:tcPr>
            <w:tcW w:type="dxa" w:w="2500"/>
            <w:shd w:fill="0F5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292"/>
            <w:shd w:fill="0F5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 / why it's there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Project identity fields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Name, ward, category — determines where the project appears on the public tracker and which filters surface it.</w:t>
            </w:r>
          </w:p>
        </w:tc>
      </w:tr>
      <w:tr>
        <w:tc>
          <w:tcPr>
            <w:tcW w:type="dxa" w:w="2500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Status &amp; progress fields</w:t>
            </w:r>
          </w:p>
        </w:tc>
        <w:tc>
          <w:tcPr>
            <w:tcW w:type="dxa" w:w="7292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Status, budget, completion percentage — drives the badge colour and progress bar shown publicly.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Plain-language explanation of the work and why it matters.</w:t>
            </w:r>
          </w:p>
        </w:tc>
      </w:tr>
      <w:tr>
        <w:tc>
          <w:tcPr>
            <w:tcW w:type="dxa" w:w="2500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Evidence upload</w:t>
            </w:r>
          </w:p>
        </w:tc>
        <w:tc>
          <w:tcPr>
            <w:tcW w:type="dxa" w:w="7292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Drag-and-drop for photos and video, automatically dated and geo-tagged — this is what feeds the before/after and dated-proof features on the public side.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Publish / save draft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Standard editorial workflow, so updates can be prepared before they go live.</w:t>
            </w:r>
          </w:p>
        </w:tc>
      </w:tr>
    </w:tbl>
    <w:p>
      <w:pPr>
        <w:spacing w:after="260"/>
      </w:pPr>
    </w:p>
    <w:p>
      <w:pPr>
        <w:pStyle w:val="Heading2"/>
        <w:spacing w:after="80" w:before="300"/>
      </w:pPr>
      <w:r>
        <w:rPr>
          <w:b/>
          <w:bCs/>
          <w:color w:val="0F5C38"/>
        </w:rPr>
        <w:t xml:space="preserve">4.3 Analytics</w:t>
      </w:r>
    </w:p>
    <w:p>
      <w:pPr>
        <w:spacing w:after="160"/>
      </w:pPr>
      <w:r>
        <w:rPr>
          <w:b/>
          <w:bCs/>
          <w:i/>
          <w:iCs/>
          <w:color w:val="5B6570"/>
          <w:sz w:val="20"/>
          <w:szCs w:val="20"/>
        </w:rPr>
        <w:t xml:space="preserve">Purpose: </w:t>
      </w:r>
      <w:r>
        <w:rPr>
          <w:i/>
          <w:iCs/>
          <w:color w:val="5B6570"/>
          <w:sz w:val="20"/>
          <w:szCs w:val="20"/>
        </w:rPr>
        <w:t xml:space="preserve">Shows the foundation's team whether the platform is reaching people, and which content matters most to them.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92"/>
      </w:tblGrid>
      <w:tr>
        <w:trPr>
          <w:tblHeader/>
        </w:trPr>
        <w:tc>
          <w:tcPr>
            <w:tcW w:type="dxa" w:w="2500"/>
            <w:shd w:fill="0F5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292"/>
            <w:shd w:fill="0F5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 / why it's there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Metric cards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Unique visitors, most-viewed page, diaspora traffic share, community submissions.</w:t>
            </w:r>
          </w:p>
        </w:tc>
      </w:tr>
      <w:tr>
        <w:tc>
          <w:tcPr>
            <w:tcW w:type="dxa" w:w="2500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Engagement chart</w:t>
            </w:r>
          </w:p>
        </w:tc>
        <w:tc>
          <w:tcPr>
            <w:tcW w:type="dxa" w:w="7292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Traffic over time — placeholder for a real chart once there is data to plot.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Most engaged content table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Which specific projects, videos or promises get the most attention — informs what the team prioritises updating next.</w:t>
            </w:r>
          </w:p>
        </w:tc>
      </w:tr>
    </w:tbl>
    <w:p>
      <w:pPr>
        <w:spacing w:after="260"/>
      </w:pPr>
    </w:p>
    <w:p>
      <w:pPr>
        <w:pStyle w:val="Heading1"/>
        <w:pBdr>
          <w:bottom w:val="single" w:color="C89B3C" w:sz="8" w:space="4"/>
        </w:pBdr>
        <w:spacing w:after="180" w:before="420"/>
      </w:pPr>
      <w:r>
        <w:rPr>
          <w:b/>
          <w:bCs/>
          <w:color w:val="0A3F27"/>
        </w:rPr>
        <w:t xml:space="preserve">5. What's already working in this prototype</w:t>
      </w:r>
    </w:p>
    <w:p>
      <w:pPr>
        <w:spacing w:after="160"/>
      </w:pPr>
      <w:r>
        <w:rPr>
          <w:color w:val="15191B"/>
          <w:sz w:val="21"/>
          <w:szCs w:val="21"/>
        </w:rPr>
        <w:t xml:space="preserve">These are not static mock-ups — they respond to clicks exactly as described: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92"/>
      </w:tblGrid>
      <w:tr>
        <w:trPr>
          <w:tblHeader/>
        </w:trPr>
        <w:tc>
          <w:tcPr>
            <w:tcW w:type="dxa" w:w="2500"/>
            <w:shd w:fill="0F5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292"/>
            <w:shd w:fill="0F5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 / why it's there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Mode toggle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Switches the whole prototype between Public site and Admin / CMS.</w:t>
            </w:r>
          </w:p>
        </w:tc>
      </w:tr>
      <w:tr>
        <w:tc>
          <w:tcPr>
            <w:tcW w:type="dxa" w:w="2500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Site navigation</w:t>
            </w:r>
          </w:p>
        </w:tc>
        <w:tc>
          <w:tcPr>
            <w:tcW w:type="dxa" w:w="7292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Every menu link, dropdown, and footer link jumps to the real page — this is not a decorative nav.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Mobile hamburger + drawer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Opens a genuine full-screen mobile menu — the actual navigation pattern for phones, not a placeholder.</w:t>
            </w:r>
          </w:p>
        </w:tc>
      </w:tr>
      <w:tr>
        <w:tc>
          <w:tcPr>
            <w:tcW w:type="dxa" w:w="2500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Ward filter (Progress Tracker)</w:t>
            </w:r>
          </w:p>
        </w:tc>
        <w:tc>
          <w:tcPr>
            <w:tcW w:type="dxa" w:w="7292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Narrows the project grid to a single ward with one click.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Count-up numbers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Hero stats and the tracker's stat strip animate from zero the first time each screen opens.</w:t>
            </w:r>
          </w:p>
        </w:tc>
      </w:tr>
      <w:tr>
        <w:tc>
          <w:tcPr>
            <w:tcW w:type="dxa" w:w="2500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Before/after slider (Progress Tracker)</w:t>
            </w:r>
          </w:p>
        </w:tc>
        <w:tc>
          <w:tcPr>
            <w:tcW w:type="dxa" w:w="7292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Drag to compare — demonstrates the evidence-presentation pattern using placeholder imagery.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Follow updates toggle (project cards)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Visual on/off state today; will connect to a real notification system once the backend exists.</w:t>
            </w:r>
          </w:p>
        </w:tc>
      </w:tr>
    </w:tbl>
    <w:p>
      <w:pPr>
        <w:spacing w:after="260"/>
      </w:pPr>
    </w:p>
    <w:p>
      <w:pPr>
        <w:pStyle w:val="Heading1"/>
        <w:pBdr>
          <w:bottom w:val="single" w:color="C89B3C" w:sz="8" w:space="4"/>
        </w:pBdr>
        <w:spacing w:after="180" w:before="420"/>
      </w:pPr>
      <w:r>
        <w:rPr>
          <w:b/>
          <w:bCs/>
          <w:color w:val="0A3F27"/>
        </w:rPr>
        <w:t xml:space="preserve">6. Design system, quick reference</w:t>
      </w:r>
    </w:p>
    <w:p>
      <w:pPr>
        <w:pStyle w:val="Heading2"/>
        <w:spacing w:after="80" w:before="300"/>
      </w:pPr>
      <w:r>
        <w:rPr>
          <w:b/>
          <w:bCs/>
          <w:color w:val="0F5C38"/>
        </w:rPr>
        <w:t xml:space="preserve">Colour palette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92"/>
      </w:tblGrid>
      <w:tr>
        <w:trPr>
          <w:tblHeader/>
        </w:trPr>
        <w:tc>
          <w:tcPr>
            <w:tcW w:type="dxa" w:w="2500"/>
            <w:shd w:fill="0F5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292"/>
            <w:shd w:fill="0F5C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 / why it's there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Deep green — #0F5C38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Primary brand colour. Institutional, growth-associated, used for headings, primary buttons and accents.</w:t>
            </w:r>
          </w:p>
        </w:tc>
      </w:tr>
      <w:tr>
        <w:tc>
          <w:tcPr>
            <w:tcW w:type="dxa" w:w="2500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Dark green — #0A3F27</w:t>
            </w:r>
          </w:p>
        </w:tc>
        <w:tc>
          <w:tcPr>
            <w:tcW w:type="dxa" w:w="7292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Headings and footer background — the "authority" tone.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Red — #C1272D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Reserved for the single primary call-to-action colour ("Support the cause", "Donate") — used sparingly so it keeps its urgency.</w:t>
            </w:r>
          </w:p>
        </w:tc>
      </w:tr>
      <w:tr>
        <w:tc>
          <w:tcPr>
            <w:tcW w:type="dxa" w:w="2500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Gold — #C89B3C</w:t>
            </w:r>
          </w:p>
        </w:tc>
        <w:tc>
          <w:tcPr>
            <w:tcW w:type="dxa" w:w="7292"/>
            <w:shd w:fill="F2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Accent only — dividers, small highlights, the prototype-navigator tag.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5191B"/>
                <w:sz w:val="20"/>
                <w:szCs w:val="20"/>
              </w:rPr>
              <w:t xml:space="preserve">Paper / Ink</w:t>
            </w:r>
          </w:p>
        </w:tc>
        <w:tc>
          <w:tcPr>
            <w:tcW w:type="dxa" w:w="72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5191B"/>
                <w:sz w:val="20"/>
                <w:szCs w:val="20"/>
              </w:rPr>
              <w:t xml:space="preserve">Background and text — kept flat and neutral so the content carries the page, not decoration.</w:t>
            </w:r>
          </w:p>
        </w:tc>
      </w:tr>
    </w:tbl>
    <w:p>
      <w:pPr>
        <w:spacing w:after="160"/>
      </w:pPr>
      <w:r>
        <w:rPr>
          <w:color w:val="15191B"/>
          <w:sz w:val="21"/>
          <w:szCs w:val="21"/>
        </w:rPr>
        <w:t xml:space="preserve">Open item: this palette should be sanity-checked against current Kenyan political party colours before final sign-off, so the platform never reads as accidentally partisan.</w:t>
      </w:r>
    </w:p>
    <w:p>
      <w:pPr>
        <w:pStyle w:val="Heading2"/>
        <w:spacing w:after="80" w:before="300"/>
      </w:pPr>
      <w:r>
        <w:rPr>
          <w:b/>
          <w:bCs/>
          <w:color w:val="0F5C38"/>
        </w:rPr>
        <w:t xml:space="preserve">Typography</w:t>
      </w:r>
    </w:p>
    <w:p>
      <w:pPr>
        <w:spacing w:after="160"/>
      </w:pPr>
      <w:r>
        <w:rPr>
          <w:color w:val="15191B"/>
          <w:sz w:val="21"/>
          <w:szCs w:val="21"/>
        </w:rPr>
        <w:t xml:space="preserve">Playfair Display (serif) is used for headlines and record-style numbers — it signals permanence and record-keeping. Inter (sans-serif) is used for body copy, UI controls and data — it keeps numbers and buttons legible at small sizes.</w:t>
      </w:r>
    </w:p>
    <w:p>
      <w:pPr>
        <w:pStyle w:val="Heading2"/>
        <w:spacing w:after="80" w:before="300"/>
      </w:pPr>
      <w:r>
        <w:rPr>
          <w:b/>
          <w:bCs/>
          <w:color w:val="0F5C38"/>
        </w:rPr>
        <w:t xml:space="preserve">Funding-source tags</w:t>
      </w:r>
    </w:p>
    <w:p>
      <w:pPr>
        <w:spacing w:after="160"/>
      </w:pPr>
      <w:r>
        <w:rPr>
          <w:color w:val="15191B"/>
          <w:sz w:val="21"/>
          <w:szCs w:val="21"/>
        </w:rPr>
        <w:t xml:space="preserve">Every project card carries one of four colour-coded tags: Foundation-funded, Government (NG-CDF), Partner-funded, or Advocated (not directly funded). This is the platform's core credibility mechanism — it prevents the foundation from ever appearing to take credit for work it didn't deliver.</w:t>
      </w:r>
    </w:p>
    <w:p>
      <w:pPr>
        <w:pStyle w:val="Heading2"/>
        <w:spacing w:after="80" w:before="300"/>
      </w:pPr>
      <w:r>
        <w:rPr>
          <w:b/>
          <w:bCs/>
          <w:color w:val="0F5C38"/>
        </w:rPr>
        <w:t xml:space="preserve">Placeholder convention</w:t>
      </w:r>
    </w:p>
    <w:p>
      <w:pPr>
        <w:spacing w:after="160"/>
      </w:pPr>
      <w:r>
        <w:rPr>
          <w:color w:val="15191B"/>
          <w:sz w:val="21"/>
          <w:szCs w:val="21"/>
        </w:rPr>
        <w:t xml:space="preserve">Anything in [square brackets], or shown as a grey diagonal-striped block, is content the client's team will supply. Everything else — layout, components, colour system, and working interactions — is close to what ships.</w:t>
      </w:r>
    </w:p>
    <w:p>
      <w:pPr>
        <w:spacing w:after="260"/>
      </w:pPr>
    </w:p>
    <w:p>
      <w:pPr>
        <w:pStyle w:val="Heading1"/>
        <w:pBdr>
          <w:bottom w:val="single" w:color="C89B3C" w:sz="8" w:space="4"/>
        </w:pBdr>
        <w:spacing w:after="180" w:before="420"/>
      </w:pPr>
      <w:r>
        <w:rPr>
          <w:b/>
          <w:bCs/>
          <w:color w:val="0A3F27"/>
        </w:rPr>
        <w:t xml:space="preserve">7. Suggested walkthrough order for tomorrow</w:t>
      </w:r>
    </w:p>
    <w:p>
      <w:pPr>
        <w:spacing w:after="160"/>
      </w:pPr>
      <w:r>
        <w:rPr>
          <w:color w:val="15191B"/>
          <w:sz w:val="21"/>
          <w:szCs w:val="21"/>
        </w:rPr>
        <w:t xml:space="preserve">A recommended sequence that mirrors the platform's own logic — proof first, personality second: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5191B"/>
          <w:sz w:val="21"/>
          <w:szCs w:val="21"/>
        </w:rPr>
        <w:t xml:space="preserve">Home — first impression: the trust-line badge, then the animated stats.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5191B"/>
          <w:sz w:val="21"/>
          <w:szCs w:val="21"/>
        </w:rPr>
        <w:t xml:space="preserve">Progress Tracker — the core idea. Demonstrate the ward filter and the before/after slider live.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5191B"/>
          <w:sz w:val="21"/>
          <w:szCs w:val="21"/>
        </w:rPr>
        <w:t xml:space="preserve">Promise Scorecard — proof the accountability claim extends to commitments, not just projects.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5191B"/>
          <w:sz w:val="21"/>
          <w:szCs w:val="21"/>
        </w:rPr>
        <w:t xml:space="preserve">Community — show this isn't only about Erick.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5191B"/>
          <w:sz w:val="21"/>
          <w:szCs w:val="21"/>
        </w:rPr>
        <w:t xml:space="preserve">Get Involved — how interest converts into support, including M-Pesa for local donors.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5191B"/>
          <w:sz w:val="21"/>
          <w:szCs w:val="21"/>
        </w:rPr>
        <w:t xml:space="preserve">Admin Dashboard — how the foundation's own team keeps all of this current.</w:t>
      </w:r>
    </w:p>
    <w:p>
      <w:pPr>
        <w:spacing w:after="160"/>
      </w:pPr>
      <w:r>
        <w:rPr>
          <w:color w:val="15191B"/>
          <w:sz w:val="21"/>
          <w:szCs w:val="21"/>
        </w:rPr>
        <w:t xml:space="preserve">Close by naming the four working interactions explicitly (ward filter, count-up numbers, before/after slider, follow toggle) — it's the clearest way to show this is a functioning product plan, not a set of static comps.</w:t>
      </w:r>
    </w:p>
    <w:p>
      <w:pPr>
        <w:spacing w:after="260"/>
      </w:pPr>
    </w:p>
    <w:p>
      <w:pPr>
        <w:pStyle w:val="Heading1"/>
        <w:pBdr>
          <w:bottom w:val="single" w:color="C89B3C" w:sz="8" w:space="4"/>
        </w:pBdr>
        <w:spacing w:after="180" w:before="420"/>
      </w:pPr>
      <w:r>
        <w:rPr>
          <w:b/>
          <w:bCs/>
          <w:color w:val="0A3F27"/>
        </w:rPr>
        <w:t xml:space="preserve">8. Open decisions for the client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5191B"/>
          <w:sz w:val="21"/>
          <w:szCs w:val="21"/>
        </w:rPr>
        <w:t xml:space="preserve">Final colour palette sign-off — confirm no unintended association with an existing party's colours.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5191B"/>
          <w:sz w:val="21"/>
          <w:szCs w:val="21"/>
        </w:rPr>
        <w:t xml:space="preserve">Confirm the 12 public pages and 3 built admin screens cover everything he wants before more admin screens are designed.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5191B"/>
          <w:sz w:val="21"/>
          <w:szCs w:val="21"/>
        </w:rPr>
        <w:t xml:space="preserve">What content he'll supply first — biography, project list, promise list, photos/videos, contact details — and roughly when.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5191B"/>
          <w:sz w:val="21"/>
          <w:szCs w:val="21"/>
        </w:rPr>
        <w:t xml:space="preserve">Brand assets — does a logo already exist, or does the "EJ" placeholder mark need real design work.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5191B"/>
          <w:sz w:val="21"/>
          <w:szCs w:val="21"/>
        </w:rPr>
        <w:t xml:space="preserve">Donation processor preference (M-Pesa aggregator, payment gateway) — affects backend scope, flagged now so it isn't a surprise later.</w:t>
      </w:r>
    </w:p>
    <w:p>
      <w:pPr>
        <w:spacing w:after="260"/>
      </w:pPr>
    </w:p>
    <w:p>
      <w:pPr>
        <w:pStyle w:val="Heading1"/>
        <w:pBdr>
          <w:bottom w:val="single" w:color="C89B3C" w:sz="8" w:space="4"/>
        </w:pBdr>
        <w:spacing w:after="180" w:before="420"/>
      </w:pPr>
      <w:r>
        <w:rPr>
          <w:b/>
          <w:bCs/>
          <w:color w:val="0A3F27"/>
        </w:rPr>
        <w:t xml:space="preserve">9. Next steps once the wireframe is approved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5191B"/>
          <w:sz w:val="21"/>
          <w:szCs w:val="21"/>
        </w:rPr>
        <w:t xml:space="preserve">Client delivers content — biography, project data, media, promises, contact information.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5191B"/>
          <w:sz w:val="21"/>
          <w:szCs w:val="21"/>
        </w:rPr>
        <w:t xml:space="preserve">Final visual design lock — palette confirmation and any real brand assets.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5191B"/>
          <w:sz w:val="21"/>
          <w:szCs w:val="21"/>
        </w:rPr>
        <w:t xml:space="preserve">Backend and CMS build — the real version of what's demonstrated in the Admin section.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5191B"/>
          <w:sz w:val="21"/>
          <w:szCs w:val="21"/>
        </w:rPr>
        <w:t xml:space="preserve">Content population using the approved layouts.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5191B"/>
          <w:sz w:val="21"/>
          <w:szCs w:val="21"/>
        </w:rPr>
        <w:t xml:space="preserve">Testing across devices and connection speeds, then launch.</w:t>
      </w:r>
    </w:p>
    <w:sectPr>
      <w:pgSz w:w="12240" w:h="15840" w:orient="portrait"/>
      <w:pgMar w:top="1224" w:right="1224" w:bottom="1224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2026-08-09T20:19:04.315Z</dcterms:created>
  <dcterms:modified xsi:type="dcterms:W3CDTF">2026-08-09T20:19:04.321Z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