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24" w:lineRule="auto"/>
        <w:jc w:val="center"/>
      </w:pPr>
      <w:r>
        <w:rPr>
          <w:rFonts w:ascii="Times New Roman" w:hAnsi="Times New Roman" w:eastAsia="宋体"/>
          <w:b/>
          <w:sz w:val="36"/>
        </w:rPr>
        <w:t>跨境算力调度真实联调测试报告</w:t>
      </w:r>
    </w:p>
    <w:p>
      <w:pPr>
        <w:spacing w:after="320" w:line="324" w:lineRule="auto"/>
        <w:jc w:val="center"/>
      </w:pPr>
      <w:r>
        <w:rPr>
          <w:rFonts w:ascii="Times New Roman" w:hAnsi="Times New Roman" w:eastAsia="宋体"/>
          <w:b w:val="0"/>
          <w:sz w:val="20"/>
        </w:rPr>
        <w:t>版本：最终版　日期：2026-08-12　织物：real（海南 / 重庆）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本报告描述新加坡控制面与两地真实 GPU agent 的联调现状。算法为自适应动态权重多目标调度；控制台提供利用率峰值、收益对照与场景化测试。凭据与内网细节不写入本报告。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1. 联调拓扑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位置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控制面 / UI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新加坡 :8080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场景提交、调度决策、状态汇聚、收益面板</w:t>
            </w:r>
          </w:p>
        </w:tc>
      </w:tr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Node Agent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海南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nvidia-smi 上报、ResNet / gpu_load 执行</w:t>
            </w:r>
          </w:p>
        </w:tc>
      </w:tr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Node Agent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重庆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同上，多卡并行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2. 调度与负载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默认策略「动态权重多目标」。DT01 等场景先跑 ResNet 分片（通常数秒），再按 duration_sec 短时 GEMM 占卡（最多约 15 秒）便于观察利用率；DEMO 场景使用持续 gpu_load≈25 秒。控制面记录区域 / 单卡会话峰值利用率，任务结束后瞬时利用率归零属预期行为。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3. 主要验收点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关注点</w:t>
            </w:r>
          </w:p>
        </w:tc>
      </w:tr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DT01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两地分片批量推理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跨区落点、结果汇聚、利用率峰值</w:t>
            </w:r>
          </w:p>
        </w:tc>
      </w:tr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DT02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海南优先与分流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显存占满后改派重庆</w:t>
            </w:r>
          </w:p>
        </w:tc>
      </w:tr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DT03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16GB 显存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排除重庆 12GB 卡</w:t>
            </w:r>
          </w:p>
        </w:tc>
      </w:tr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DEMO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利用率与收益演示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持续占卡、成本/时延收益摘要</w:t>
            </w:r>
          </w:p>
        </w:tc>
      </w:tr>
      <w:tr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TC02/03/04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安全负向</w:t>
            </w:r>
          </w:p>
        </w:tc>
        <w:tc>
          <w:tcPr>
            <w:tcW w:type="dxa" w:w="317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鉴权/端口/哈希拒绝且不落 GPU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4. 控制台能力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实时折线：可用显存 / GPU 利用率（含会话峰）/ 分片队列；资源卡片展示实时与峰值利用率、显存占用；完成后「测试收益与效果」汇总相对单边基线的成本与时延收益。</w:t>
      </w:r>
    </w:p>
    <w:p>
      <w:pPr>
        <w:pStyle w:val="Heading1"/>
      </w:pPr>
      <w:r>
        <w:rPr>
          <w:rFonts w:ascii="Times New Roman" w:hAnsi="Times New Roman" w:eastAsia="宋体"/>
          <w:b/>
          <w:color w:val="1D4E89"/>
          <w:sz w:val="32"/>
        </w:rPr>
        <w:t>5. 结论</w:t>
      </w:r>
    </w:p>
    <w:p>
      <w:pPr>
        <w:spacing w:after="160" w:line="324" w:lineRule="auto"/>
      </w:pPr>
      <w:r>
        <w:rPr>
          <w:rFonts w:ascii="Times New Roman" w:hAnsi="Times New Roman" w:eastAsia="宋体"/>
          <w:b w:val="0"/>
          <w:sz w:val="22"/>
        </w:rPr>
        <w:t>真实联调路径已收敛为：新算法 + 经典控制台 + 两地真实 agent。算法报告给出离线 30 任务对比；本报告对应现场可复现的调度与观测能力。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