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24" w:lineRule="auto"/>
        <w:jc w:val="center"/>
      </w:pPr>
      <w:r>
        <w:rPr>
          <w:rFonts w:ascii="Times New Roman" w:hAnsi="Times New Roman" w:eastAsia="宋体"/>
          <w:b/>
          <w:sz w:val="36"/>
        </w:rPr>
        <w:t>跨境算力调度算法测试报告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26"/>
        </w:rPr>
        <w:t>自适应动态权重多目标调度</w:t>
      </w:r>
    </w:p>
    <w:p>
      <w:pPr>
        <w:spacing w:after="28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版本：最终版　日期：2026-08-12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1. 概述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本报告给出跨境算力联合调度引擎的实现说明与系统测试结果。调度目标是在多区域、多约束条件下，为算力任务选择可行且综合更优的落地节点。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算法流程为：硬约束过滤（GPU 容量、时延上限、预算、TEE）→ 对可行集做最小—最大规范化 → 按 Score = wl·S(t)·Nlat + wc·Ncost + we·Nenergy + wld·Load 打分选点。默认权重 wl=0.733，wc=we=wld=0.1，策略整体偏向时延质量。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对比基线包括：静态本地、先到先服务（FCFS）、最小延迟、最小成本、遗传算法（GA）。资源模型覆盖重庆、海南、香港、新加坡、新疆五节点。GPU 利用率按运行期峰值占用统计。实验健康检查通过。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2. 系统实现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调度核心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src/scheduler/adaptive_scheduler.py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硬约束、规范化、自适应打分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实验与基线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src/scheduler/experiment.py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30 任务顺序提交、消融与失败分类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单元测试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tests/test_scheduler.py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约束、打分公式、桥接与实验健康检查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控制面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src/controller/server.py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API、策略选择、真实派发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节点桥接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src/controller/scheduler_bridge.py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真实/仿真节点统一为调度状态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推理负载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src/poc_bundle/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ResNet 分片推理与结果汇聚</w:t>
            </w:r>
          </w:p>
        </w:tc>
      </w:tr>
    </w:tbl>
    <w:p/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线上控制面默认策略为「动态权重多目标」。海南、重庆通过 node agent 承接真实 GPU 执行；香港、新加坡、新疆参与混合资源织物下的选点与对照实验。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3. 对比实验结果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在 30 任务争用场景下，动态权重多目标调度成功率 73.33%（22/30），平均时延 55.48 ms，平均成本 26.56 元，平均能耗指数 7.07，峰值 GPU 利用率 97.5%，单次决策耗时 0.0175 ms。成功率与先到先服务、最小延迟、遗传算法同处最高档；同档内本方法时延与成本更优。未调度任务：T03, T14, T15, T23, T25, T27, T28, T30。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算法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成功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未调度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成功率%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平均时延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平均成本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平均能耗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峰值利用率%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计算ms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静态本地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46.67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54.55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23.90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6.97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62.5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0.0522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先到先服务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62.37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29.53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7.26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100.0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0.0136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最小延迟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60.31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27.81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6.87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95.0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0.0133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最小成本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70.00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53.48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27.14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7.42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97.5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0.0157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遗传算法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58.79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27.12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7.00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97.5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12.2547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动态权重多目标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55.48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26.56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7.07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97.5</w:t>
            </w:r>
          </w:p>
        </w:tc>
        <w:tc>
          <w:tcPr>
            <w:tcW w:type="dxa" w:w="108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0.0175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835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35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 关键指标对比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331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31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 多维度雷达对比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96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9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 动态权重多目标五节点落点分布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3166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1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  成功任务成本—时延分布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相对本方法的决策差异（选点或成败不同计为差异）：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对比算法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相同决策数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差异率%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静态本地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36.67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先到先服务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50.0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最小延迟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26.67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最小成本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30.0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遗传算法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33.33</w:t>
            </w:r>
          </w:p>
        </w:tc>
      </w:tr>
    </w:tbl>
    <w:p/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相对遗传算法，在线打分平均加速约 700 倍（GA 12.25 ms，本方法 0.0175 ms）。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3.1 失败原因分类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失败类型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任务数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空集群预算硬冲突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运行期混合约束（容量+时延/预算等）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空集群 TEE/合规硬冲突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GPU/显存容量（运行期争用）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任务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归类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T03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空集群预算硬冲突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T14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运行期混合约束（容量+时延/预算等）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T15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空集群 TEE/合规硬冲突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T23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运行期混合约束（容量+时延/预算等）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T25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空集群预算硬冲突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T27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GPU/显存容量（运行期争用）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T28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运行期混合约束（容量+时延/预算等）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T30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GPU/显存容量（运行期争用）</w:t>
            </w:r>
          </w:p>
        </w:tc>
      </w:tr>
    </w:tbl>
    <w:p/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空集群即不可行的任务（与运行争用无关）：T03（空集群即不可行：预算超限）；T15（空集群即不可行：TEE/合规）；T25（空集群即不可行：预算超限）。其余失败主要来自顺序提交下的容量争用。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4. 消融实验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关闭单项权重后，成功率、时延、成本及失败集变化如下。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配置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成功率%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平均时延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平均成本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平均能耗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失败任务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全模块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55.48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26.56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7.07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T03, T14, T15, T23, T25, T27, T28, T30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无延迟优化 (w_lat=0)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70.00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55.64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26.60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7.16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T03, T09, T14, T15, T23, T25, T28, T29, T30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无成本优化 (w_cost=0)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55.45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26.48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7.07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T03, T14, T15, T23, T25, T27, T28, T30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无能耗优化 (w_energy=0)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58.94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26.62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6.82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T03, T14, T15, T23, T25, T27, T29, T30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无负载优化 (w_load=0)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73.33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55.48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26.56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7.07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T03, T14, T15, T23, T25, T27, T28, T30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8220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2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  消融实验指标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0"/>
        </w:rPr>
        <w:t>• 无延迟优化 (w_lat=0)：成功率 73.33% → 70.00%，失败集 T03, T09, T14, T15, T23, T25, T28, T29, T30。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0"/>
        </w:rPr>
        <w:t>• 无成本优化 (w_cost=0)：成功率不变，时延/成本有变化（时延 55.48→55.45，成本 26.56→26.48）。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0"/>
        </w:rPr>
        <w:t>• 无能耗优化 (w_energy=0)：成功率不变，时延/成本有变化（时延 55.48→58.94，成本 26.56→26.62）。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0"/>
        </w:rPr>
        <w:t>• 无负载优化 (w_load=0)：与全模块指标一致，本场景下该权重未改变调度结果。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5. 真实联调说明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控制面默认使用本算法为海南/重庆真实节点选点，并保留 16GB 显存等硬约束桥接逻辑。现场 ResNet 分片推理、短时占卡观测利用率、结果汇聚与安全负向用例见《跨境算力调度真实联调测试报告》。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6. 结论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测试表明，自适应动态权重多目标调度在本场景成功率达到 73.33%，优于静态本地（46.67%）与最小成本（70.0%）；在最高成功率档内取得更低时延与成本（55.48 ms / 26.56 元），峰值利用率 97.5%，决策时延 0.0175 ms，满足跨境算力联合调度的在线决策需求。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