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24" w:lineRule="auto"/>
        <w:jc w:val="center"/>
      </w:pPr>
      <w:r>
        <w:rPr>
          <w:rFonts w:ascii="Times New Roman" w:hAnsi="Times New Roman" w:eastAsia="宋体"/>
          <w:b/>
          <w:sz w:val="36"/>
        </w:rPr>
        <w:t>跨境算力调度算法测试报告</w:t>
      </w:r>
    </w:p>
    <w:p>
      <w:pPr>
        <w:spacing w:after="160" w:line="324" w:lineRule="auto"/>
        <w:jc w:val="center"/>
      </w:pPr>
      <w:r>
        <w:rPr>
          <w:rFonts w:ascii="Times New Roman" w:hAnsi="Times New Roman" w:eastAsia="宋体"/>
          <w:b w:val="0"/>
          <w:sz w:val="26"/>
        </w:rPr>
        <w:t>自适应动态权重多目标调度</w:t>
      </w:r>
    </w:p>
    <w:p>
      <w:pPr>
        <w:spacing w:after="280" w:line="324" w:lineRule="auto"/>
        <w:jc w:val="center"/>
      </w:pPr>
      <w:r>
        <w:rPr>
          <w:rFonts w:ascii="Times New Roman" w:hAnsi="Times New Roman" w:eastAsia="宋体"/>
          <w:b w:val="0"/>
          <w:sz w:val="20"/>
        </w:rPr>
        <w:t>版本：最终版　日期：2026-08-12</w:t>
      </w:r>
    </w:p>
    <w:p>
      <w:pPr>
        <w:pStyle w:val="Heading1"/>
      </w:pPr>
      <w:r>
        <w:rPr>
          <w:rFonts w:ascii="Times New Roman" w:hAnsi="Times New Roman" w:eastAsia="宋体"/>
          <w:b/>
          <w:color w:val="1D4E89"/>
          <w:sz w:val="32"/>
        </w:rPr>
        <w:t>1. 概述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本报告给出跨境算力联合调度引擎的实现说明与系统测试结果。调度目标是在多区域、多约束条件下，为算力任务选择可行且综合更优的落地节点。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算法流程为：硬约束过滤（GPU 容量、时延上限、预算、TEE）→ 对可行集做最小—最大规范化 → 按 Score = wl·S(t)·Nlat + wc·Ncost + we·Nenergy + wld·Load 打分选点。默认权重 wl=0.733，wc=we=wld=0.1，策略整体偏向时延质量。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对比基线包括：静态本地、先到先服务（FCFS）、最小延迟、最小成本、遗传算法（GA）。资源模型覆盖重庆、海南、香港、新加坡、新疆五节点。GPU 利用率按运行期峰值占用统计。实验健康检查通过。</w:t>
      </w:r>
    </w:p>
    <w:p>
      <w:pPr>
        <w:pStyle w:val="Heading1"/>
      </w:pPr>
      <w:r>
        <w:rPr>
          <w:rFonts w:ascii="Times New Roman" w:hAnsi="Times New Roman" w:eastAsia="宋体"/>
          <w:b/>
          <w:color w:val="1D4E89"/>
          <w:sz w:val="32"/>
        </w:rPr>
        <w:t>2. 系统实现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调度核心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src/scheduler/paper_scheduler.py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硬约束、规范化、自适应打分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实验与基线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src/scheduler/experiment.py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30 任务顺序提交、消融与失败分类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单元测试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tests/test_scheduler.py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约束、打分公式、桥接与实验健康检查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控制面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src/controller/server.py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API、策略选择、真实派发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节点桥接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src/controller/scheduler_bridge.py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真实/仿真节点统一为调度状态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推理负载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src/poc_bundle/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ResNet 分片推理与结果汇聚</w:t>
            </w:r>
          </w:p>
        </w:tc>
      </w:tr>
    </w:tbl>
    <w:p/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线上控制面默认策略为「动态权重多目标」。海南、重庆通过 node agent 承接真实 GPU 执行；香港、新加坡、新疆参与混合资源织物下的选点与对照实验。</w:t>
      </w:r>
    </w:p>
    <w:p>
      <w:pPr>
        <w:pStyle w:val="Heading1"/>
      </w:pPr>
      <w:r>
        <w:rPr>
          <w:rFonts w:ascii="Times New Roman" w:hAnsi="Times New Roman" w:eastAsia="宋体"/>
          <w:b/>
          <w:color w:val="1D4E89"/>
          <w:sz w:val="32"/>
        </w:rPr>
        <w:t>3. 对比实验结果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在 30 任务争用场景下，动态权重多目标调度成功率 73.33%（22/30），平均时延 55.48 ms，平均成本 26.56 元，平均能耗指数 7.07，峰值 GPU 利用率 97.5%，单次决策耗时 0.0225 ms。成功率与先到先服务、最小延迟、遗传算法同处最高档；同档内本方法时延与成本更优。未调度任务：T03, T14, T15, T23, T25, T27, T28, T30。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算法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成功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未调度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成功率%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平均时延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平均成本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平均能耗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峰值利用率%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计算ms</w:t>
            </w:r>
          </w:p>
        </w:tc>
      </w:tr>
      <w:tr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静态本地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14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46.67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54.55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23.90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6.97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62.5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0.0180</w:t>
            </w:r>
          </w:p>
        </w:tc>
      </w:tr>
      <w:tr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先到先服务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73.33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62.37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29.53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7.26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100.0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0.0129</w:t>
            </w:r>
          </w:p>
        </w:tc>
      </w:tr>
      <w:tr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最小延迟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73.33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60.31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27.81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6.87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95.0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0.0136</w:t>
            </w:r>
          </w:p>
        </w:tc>
      </w:tr>
      <w:tr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最小成本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21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9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70.00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53.48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27.14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7.42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97.5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0.0148</w:t>
            </w:r>
          </w:p>
        </w:tc>
      </w:tr>
      <w:tr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遗传算法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73.33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58.79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27.12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7.00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97.5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11.8762</w:t>
            </w:r>
          </w:p>
        </w:tc>
      </w:tr>
      <w:tr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动态权重多目标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22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8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73.33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55.48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26.56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7.07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97.5</w:t>
            </w:r>
          </w:p>
        </w:tc>
        <w:tc>
          <w:tcPr>
            <w:tcW w:type="dxa" w:w="108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0.0225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183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_ba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3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24" w:lineRule="auto"/>
        <w:jc w:val="center"/>
      </w:pPr>
      <w:r>
        <w:rPr>
          <w:rFonts w:ascii="Times New Roman" w:hAnsi="Times New Roman" w:eastAsia="宋体"/>
          <w:b w:val="0"/>
          <w:sz w:val="20"/>
        </w:rPr>
        <w:t>图1  关键指标对比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43314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_rad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31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24" w:lineRule="auto"/>
        <w:jc w:val="center"/>
      </w:pPr>
      <w:r>
        <w:rPr>
          <w:rFonts w:ascii="Times New Roman" w:hAnsi="Times New Roman" w:eastAsia="宋体"/>
          <w:b w:val="0"/>
          <w:sz w:val="20"/>
        </w:rPr>
        <w:t>图2  多维度雷达对比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26969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_d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9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24" w:lineRule="auto"/>
        <w:jc w:val="center"/>
      </w:pPr>
      <w:r>
        <w:rPr>
          <w:rFonts w:ascii="Times New Roman" w:hAnsi="Times New Roman" w:eastAsia="宋体"/>
          <w:b w:val="0"/>
          <w:sz w:val="20"/>
        </w:rPr>
        <w:t>图3  动态权重多目标五节点落点分布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3166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316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24" w:lineRule="auto"/>
        <w:jc w:val="center"/>
      </w:pPr>
      <w:r>
        <w:rPr>
          <w:rFonts w:ascii="Times New Roman" w:hAnsi="Times New Roman" w:eastAsia="宋体"/>
          <w:b w:val="0"/>
          <w:sz w:val="20"/>
        </w:rPr>
        <w:t>图4  成功任务成本—时延分布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相对本方法的决策差异（选点或成败不同计为差异）：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对比算法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相同决策数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差异率%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静态本地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19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36.67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先到先服务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15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50.0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最小延迟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22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26.67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最小成本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21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30.0</w:t>
            </w:r>
          </w:p>
        </w:tc>
      </w:tr>
      <w:tr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遗传算法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20</w:t>
            </w:r>
          </w:p>
        </w:tc>
        <w:tc>
          <w:tcPr>
            <w:tcW w:type="dxa" w:w="3249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33.33</w:t>
            </w:r>
          </w:p>
        </w:tc>
      </w:tr>
    </w:tbl>
    <w:p/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相对遗传算法，在线打分平均加速约 528 倍（GA 11.88 ms，本方法 0.0225 ms）。</w:t>
      </w:r>
    </w:p>
    <w:p>
      <w:pPr>
        <w:pStyle w:val="Heading1"/>
      </w:pPr>
      <w:r>
        <w:rPr>
          <w:rFonts w:ascii="Times New Roman" w:hAnsi="Times New Roman" w:eastAsia="宋体"/>
          <w:b/>
          <w:color w:val="1D4E89"/>
          <w:sz w:val="32"/>
        </w:rPr>
        <w:t>3.1 失败原因分类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失败类型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任务数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空集群预算硬冲突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运行期混合约束（容量+时延/预算等）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空集群 TEE/合规硬冲突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GPU/显存容量（运行期争用）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任务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归类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T03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空集群预算硬冲突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T14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运行期混合约束（容量+时延/预算等）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T15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空集群 TEE/合规硬冲突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T23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运行期混合约束（容量+时延/预算等）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T25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空集群预算硬冲突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T27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GPU/显存容量（运行期争用）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T28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运行期混合约束（容量+时延/预算等）</w:t>
            </w:r>
          </w:p>
        </w:tc>
      </w:tr>
      <w:tr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T30</w:t>
            </w:r>
          </w:p>
        </w:tc>
        <w:tc>
          <w:tcPr>
            <w:tcW w:type="dxa" w:w="4873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GPU/显存容量（运行期争用）</w:t>
            </w:r>
          </w:p>
        </w:tc>
      </w:tr>
    </w:tbl>
    <w:p/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空集群即不可行的任务（与运行争用无关）：T03（空集群即不可行：预算超限）；T15（空集群即不可行：TEE/合规）；T25（空集群即不可行：预算超限）。其余失败主要来自顺序提交下的容量争用。</w:t>
      </w:r>
    </w:p>
    <w:p>
      <w:pPr>
        <w:pStyle w:val="Heading1"/>
      </w:pPr>
      <w:r>
        <w:rPr>
          <w:rFonts w:ascii="Times New Roman" w:hAnsi="Times New Roman" w:eastAsia="宋体"/>
          <w:b/>
          <w:color w:val="1D4E89"/>
          <w:sz w:val="32"/>
        </w:rPr>
        <w:t>4. 消融实验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关闭单项权重后，成功率、时延、成本及失败集变化如下。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配置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成功率%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平均时延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平均成本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平均能耗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/>
                <w:sz w:val="18"/>
              </w:rPr>
              <w:t>失败任务</w:t>
            </w:r>
          </w:p>
        </w:tc>
      </w:tr>
      <w:tr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全模块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73.33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55.48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26.56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7.07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T03, T14, T15, T23, T25, T27, T28, T30</w:t>
            </w:r>
          </w:p>
        </w:tc>
      </w:tr>
      <w:tr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无延迟优化 (w_lat=0)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70.00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55.64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26.60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7.16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T03, T09, T14, T15, T23, T25, T28, T29, T30</w:t>
            </w:r>
          </w:p>
        </w:tc>
      </w:tr>
      <w:tr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无成本优化 (w_cost=0)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73.33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55.45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26.48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7.07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T03, T14, T15, T23, T25, T27, T28, T30</w:t>
            </w:r>
          </w:p>
        </w:tc>
      </w:tr>
      <w:tr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无能耗优化 (w_energy=0)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73.33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58.94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26.62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6.82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T03, T14, T15, T23, T25, T27, T29, T30</w:t>
            </w:r>
          </w:p>
        </w:tc>
      </w:tr>
      <w:tr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无负载优化 (w_load=0)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73.33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55.48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26.56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7.07</w:t>
            </w:r>
          </w:p>
        </w:tc>
        <w:tc>
          <w:tcPr>
            <w:tcW w:type="dxa" w:w="1624"/>
          </w:tcPr>
          <w:p>
            <w:r>
              <w:rPr>
                <w:rFonts w:ascii="Times New Roman" w:hAnsi="Times New Roman" w:eastAsia="宋体"/>
                <w:b w:val="0"/>
                <w:sz w:val="18"/>
              </w:rPr>
              <w:t>T03, T14, T15, T23, T25, T27, T28, T30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18220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_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2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324" w:lineRule="auto"/>
        <w:jc w:val="center"/>
      </w:pPr>
      <w:r>
        <w:rPr>
          <w:rFonts w:ascii="Times New Roman" w:hAnsi="Times New Roman" w:eastAsia="宋体"/>
          <w:b w:val="0"/>
          <w:sz w:val="20"/>
        </w:rPr>
        <w:t>图5  消融实验指标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0"/>
        </w:rPr>
        <w:t>• 无延迟优化 (w_lat=0)：成功率 73.33% → 70.00%，失败集 T03, T09, T14, T15, T23, T25, T28, T29, T30。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0"/>
        </w:rPr>
        <w:t>• 无成本优化 (w_cost=0)：成功率不变，时延/成本有变化（时延 55.48→55.45，成本 26.56→26.48）。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0"/>
        </w:rPr>
        <w:t>• 无能耗优化 (w_energy=0)：成功率不变，时延/成本有变化（时延 55.48→58.94，成本 26.56→26.62）。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0"/>
        </w:rPr>
        <w:t>• 无负载优化 (w_load=0)：与全模块指标一致，本场景下该权重未改变调度结果。</w:t>
      </w:r>
    </w:p>
    <w:p>
      <w:pPr>
        <w:pStyle w:val="Heading1"/>
      </w:pPr>
      <w:r>
        <w:rPr>
          <w:rFonts w:ascii="Times New Roman" w:hAnsi="Times New Roman" w:eastAsia="宋体"/>
          <w:b/>
          <w:color w:val="1D4E89"/>
          <w:sz w:val="32"/>
        </w:rPr>
        <w:t>5. 真实联调说明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控制面默认使用本算法为海南/重庆真实节点选点，并保留 16GB 显存等硬约束桥接逻辑。现场 ResNet 分片推理、结果汇聚与安全负向用例的证据见《跨境算力调度真实联调测试报告》。</w:t>
      </w:r>
    </w:p>
    <w:p>
      <w:pPr>
        <w:pStyle w:val="Heading1"/>
      </w:pPr>
      <w:r>
        <w:rPr>
          <w:rFonts w:ascii="Times New Roman" w:hAnsi="Times New Roman" w:eastAsia="宋体"/>
          <w:b/>
          <w:color w:val="1D4E89"/>
          <w:sz w:val="32"/>
        </w:rPr>
        <w:t>6. 结论</w:t>
      </w:r>
    </w:p>
    <w:p>
      <w:pPr>
        <w:spacing w:after="160" w:line="324" w:lineRule="auto"/>
      </w:pPr>
      <w:r>
        <w:rPr>
          <w:rFonts w:ascii="Times New Roman" w:hAnsi="Times New Roman" w:eastAsia="宋体"/>
          <w:b w:val="0"/>
          <w:sz w:val="22"/>
        </w:rPr>
        <w:t>测试表明，自适应动态权重多目标调度在本场景成功率达到 73.33%，优于静态本地（46.67%）与最小成本（70.0%）；在最高成功率档内取得更低时延与成本（55.48 ms / 26.56 元），峰值利用率 97.5%，决策时延 0.0225 ms，满足跨境算力联合调度的在线决策需求。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