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</w:t>
      </w:r>
      <w:r>
        <w:rPr>
          <w:rFonts w:hint="eastAsia"/>
          <w:lang w:val="en-US" w:eastAsia="zh-CN"/>
        </w:rPr>
        <w:t>koa框架做出路由接口的：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Get方式传参：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axios({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method: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/userlist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params:{id:3,uname: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/userlist/:id/:uname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,function(ctx){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console.log(ctx.params);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      id要和前端传过来的id要对应上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Post方式传参：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axios({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method: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/newslist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data:{id:3,news_d: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小米音响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router.post(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/newslist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,function(ctx){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console.log(ctx.request.body);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});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lOTFiZDMxNzQ2ZjIzOWNjN2Y4MzhkZDk5ZGZlYmUifQ=="/>
  </w:docVars>
  <w:rsids>
    <w:rsidRoot w:val="00000000"/>
    <w:rsid w:val="3A2E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2023-05-04T06:40:02Z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59A3BAC223E64C3DBBC16759CDBBF26B_12</vt:lpwstr>
  </property>
</Properties>
</file>