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u w:val="single"/>
          <w:rtl w:val="0"/>
        </w:rPr>
        <w:t xml:space="preserve">Core Focus for Hackathon Event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i w:val="1"/>
          <w:rtl w:val="0"/>
        </w:rPr>
        <w:t xml:space="preserve">Primary objective: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Designing mobile wearable computer for astronaut to use on space walk, that will  “Expanding field of vision” = 視野を拡大する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主な目標：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SimSun" w:cs="SimSun" w:eastAsia="SimSun" w:hAnsi="SimSun"/>
          <w:rtl w:val="0"/>
        </w:rPr>
        <w:t xml:space="preserve">宇宙遊泳に宇宙服に取り付ける携帯型PCをデザインする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Secondary objectives: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追加の目標：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Information display</w:t>
        <w:br w:type="textWrapping"/>
        <w:t xml:space="preserve">情報の表示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Network communication</w:t>
        <w:br w:type="textWrapping"/>
        <w:t xml:space="preserve">ネットワークコミュニケーション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u w:val="single"/>
          <w:rtl w:val="0"/>
        </w:rPr>
        <w:t xml:space="preserve">New Research: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Wearable computer design standards: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-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Extravehicular Activity (EVA) Hardware Generic Design Requirements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-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Space Flight Human-System Standard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-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Man-Systems Integration Standards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-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Preliminary Considerations for Wearable Computing in Support of Astronaut Extravehicular Activity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****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Actual wearable computer system prototype that people build</w:t>
        </w:r>
      </w:hyperlink>
      <w:r w:rsidDel="00000000" w:rsidR="00000000" w:rsidRPr="00000000">
        <w:rPr>
          <w:rtl w:val="0"/>
        </w:rPr>
        <w:t xml:space="preserve">*****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hyperlink" Target="http://monet.cs.columbia.edu/courses/mobwear/resources/carr-iswc02.pdf" TargetMode="External"/><Relationship Id="rId6" Type="http://schemas.openxmlformats.org/officeDocument/2006/relationships/hyperlink" Target="http://www.nasa.gov/centers/johnson/slsd/about/divisions/hefd/standards/index.html" TargetMode="External"/><Relationship Id="rId5" Type="http://schemas.openxmlformats.org/officeDocument/2006/relationships/hyperlink" Target="http://emits.sso.esa.int/emits-doc/ESTEC/4659-ad14.pdf" TargetMode="External"/><Relationship Id="rId8" Type="http://schemas.openxmlformats.org/officeDocument/2006/relationships/hyperlink" Target="http://hd.media.mit.edu/tech-reports/TR-551.pdf" TargetMode="External"/><Relationship Id="rId7" Type="http://schemas.openxmlformats.org/officeDocument/2006/relationships/hyperlink" Target="http://msis.jsc.nasa.gov/" TargetMode="External"/></Relationships>
</file>