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конкуренции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апреля,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построение модели конкуренции двух фирм в среде OpenModelica.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Вариант №21.</w:t>
      </w:r>
    </w:p>
    <w:p>
      <w:pPr>
        <w:pStyle w:val="BodyText"/>
      </w:pPr>
      <w:r>
        <w:t xml:space="preserve">Даны два случая:</w:t>
      </w:r>
    </w:p>
    <w:p>
      <w:pPr>
        <w:pStyle w:val="BodyText"/>
      </w:pPr>
      <w:r>
        <w:t xml:space="preserve">Случай 1.</w:t>
      </w:r>
    </w:p>
    <w:p>
      <w:pPr>
        <w:pStyle w:val="BodyText"/>
      </w:pPr>
      <w:r>
        <w:t xml:space="preserve">Рассмотрим две фирмы, производящие взаимозаменяемые товары одинакового количества и находящиеся в одной рыночной нише. Считаем, что в рамках нашей модели конкурентная борьба ведется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</w:t>
      </w:r>
      <w:r>
        <w:t xml:space="preserve">“</w:t>
      </w:r>
      <w:r>
        <w:t xml:space="preserve">назначать</w:t>
      </w:r>
      <w:r>
        <w:t xml:space="preserve">”</w:t>
      </w:r>
      <w:r>
        <w:t xml:space="preserve"> </w:t>
      </w:r>
      <w:r>
        <w:t xml:space="preserve">цену или влиять на потребителей каким-либо иным способом). Будем считать, что постоянные издержки пренебрежимо малы, и в модели учитывать их не будем. В этом случае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  <m:r>
          <m:rPr>
            <m:sty m:val="p"/>
          </m:rPr>
          <m:t>,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1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1</m:t>
                </m:r>
              </m:sub>
            </m:sSub>
            <m:sSub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1</m:t>
                </m:r>
              </m:sub>
            </m:sSub>
          </m:den>
        </m:f>
        <m:r>
          <m:rPr>
            <m:sty m:val="p"/>
          </m:rPr>
          <m:t>,</m:t>
        </m:r>
        <m:sSub>
          <m:e>
            <m:r>
              <m:t>c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2</m:t>
                </m:r>
              </m:sub>
            </m:sSub>
            <m:sSub>
              <m:e>
                <m:acc>
                  <m:accPr>
                    <m:chr m:val="̃"/>
                  </m:accPr>
                  <m:e>
                    <m:r>
                      <m:t>p</m:t>
                    </m:r>
                  </m:e>
                </m:acc>
              </m:e>
              <m:sub>
                <m:r>
                  <m:t>2</m:t>
                </m:r>
              </m:sub>
            </m:sSub>
          </m:den>
        </m:f>
      </m:oMath>
    </w:p>
    <w:p>
      <w:pPr>
        <w:pStyle w:val="BodyText"/>
      </w:pPr>
      <w:r>
        <w:t xml:space="preserve">Также введена нормировка: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t>θ</m:t>
        </m:r>
      </m:oMath>
      <w:r>
        <w:t xml:space="preserve">.</w:t>
      </w:r>
    </w:p>
    <w:p>
      <w:pPr>
        <w:pStyle w:val="BodyText"/>
      </w:pPr>
      <w:r>
        <w:t xml:space="preserve">Случай 2.</w:t>
      </w:r>
    </w:p>
    <w:p>
      <w:pPr>
        <w:pStyle w:val="BodyText"/>
      </w:pPr>
      <w:r>
        <w:t xml:space="preserve">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—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+</m:t>
          </m:r>
          <m:r>
            <m:t>0.00012</m:t>
          </m:r>
          <m:r>
            <m:rPr>
              <m:sty m:val="p"/>
            </m:rPr>
            <m:t>)</m:t>
          </m:r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sSub>
                <m:e>
                  <m:r>
                    <m:t>M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c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>
            <m:e>
              <m:r>
                <m:t>M</m:t>
              </m:r>
            </m:e>
            <m:sub>
              <m:r>
                <m:t>1</m:t>
              </m:r>
            </m:sub>
          </m:sSub>
          <m:sSub>
            <m:e>
              <m:r>
                <m:t>M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f>
            <m:fPr>
              <m:type m:val="bar"/>
            </m:fPr>
            <m:num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c</m:t>
                  </m:r>
                </m:e>
                <m:sub>
                  <m:r>
                    <m:t>1</m:t>
                  </m:r>
                </m:sub>
              </m:sSub>
            </m:den>
          </m:f>
          <m:sSubSup>
            <m:e>
              <m:r>
                <m:t>M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</m:oMath>
      </m:oMathPara>
    </w:p>
    <w:p>
      <w:pPr>
        <w:pStyle w:val="FirstParagraph"/>
      </w:pPr>
      <w:r>
        <w:t xml:space="preserve">Для обоих случаев рассмотрим задачу со следующими начальными условиями и параметрами:</w:t>
      </w:r>
    </w:p>
    <w:p>
      <w:pPr>
        <w:pStyle w:val="BodyText"/>
      </w:pP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7</m:t>
        </m:r>
        <m:r>
          <m:rPr>
            <m:sty m:val="p"/>
          </m:rPr>
          <m:t>,</m:t>
        </m:r>
        <m:sSubSup>
          <m:e>
            <m:r>
              <m:t>M</m:t>
            </m:r>
          </m:e>
          <m:sub>
            <m:r>
              <m:t>0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8</m:t>
        </m:r>
        <m:r>
          <m:rPr>
            <m:sty m:val="p"/>
          </m:rPr>
          <m:t>,</m:t>
        </m:r>
      </m:oMath>
    </w:p>
    <w:p>
      <w:pPr>
        <w:pStyle w:val="BodyText"/>
      </w:pP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45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=</m:t>
        </m:r>
        <m:r>
          <m:t>70</m:t>
        </m:r>
        <m:r>
          <m:rPr>
            <m:sty m:val="p"/>
          </m:rPr>
          <m:t>,</m:t>
        </m:r>
        <m:r>
          <m:t>q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</m:oMath>
    </w:p>
    <w:p>
      <w:pPr>
        <w:pStyle w:val="BodyText"/>
      </w:pPr>
      <m:oMath>
        <m:sSub>
          <m:e>
            <m:r>
              <m:t>τ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25</m:t>
        </m:r>
        <m:r>
          <m:rPr>
            <m:sty m:val="p"/>
          </m:rPr>
          <m:t>,</m:t>
        </m:r>
        <m:sSub>
          <m:e>
            <m:r>
              <m:t>τ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20</m:t>
        </m:r>
        <m:r>
          <m:rPr>
            <m:sty m:val="p"/>
          </m:rPr>
          <m:t>,</m:t>
        </m:r>
      </m:oMath>
    </w:p>
    <w:p>
      <w:pPr>
        <w:pStyle w:val="BodyText"/>
      </w:pPr>
      <m:oMath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10</m:t>
        </m:r>
        <m:r>
          <m:rPr>
            <m:sty m:val="p"/>
          </m:rPr>
          <m:t>,</m:t>
        </m:r>
        <m:sSub>
          <m:e>
            <m:acc>
              <m:accPr>
                <m:chr m:val="̃"/>
              </m:accPr>
              <m:e>
                <m:r>
                  <m:t>p</m:t>
                </m:r>
              </m:e>
            </m:acc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7.7</m:t>
        </m:r>
      </m:oMath>
    </w:p>
    <w:p>
      <w:pPr>
        <w:pStyle w:val="BodyText"/>
      </w:pPr>
      <w:r>
        <w:t xml:space="preserve">Необходимо: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изменения оборотных средств фирмы 1 и фирмы 2 без учета постоянных издержек и с введенной нормировкой для случая 1.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изменения оборотных средств фирмы 1 и фирмы 2 без учета постоянных издержек и с введенной нормировкой для случая 2.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</w:p>
    <w:p>
      <w:pPr>
        <w:pStyle w:val="BodyText"/>
      </w:pPr>
      <w:r>
        <w:t xml:space="preserve">Для построения модели конкуренции хотя бы двух фирм необходимо рассмотреть модель одной фирмы. Вначале рассмотрим модель фирмы, производящей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ней отсутствуют.</w:t>
      </w:r>
    </w:p>
    <w:p>
      <w:pPr>
        <w:pStyle w:val="BodyText"/>
      </w:pPr>
      <w:r>
        <w:t xml:space="preserve">Обозначим:</w:t>
      </w:r>
    </w:p>
    <w:p>
      <w:pPr>
        <w:pStyle w:val="BodyText"/>
      </w:pPr>
      <m:oMath>
        <m:r>
          <m:t>N</m:t>
        </m:r>
      </m:oMath>
      <w:r>
        <w:t xml:space="preserve"> </w:t>
      </w:r>
      <w:r>
        <w:t xml:space="preserve">— число потребителей производимого продукта.</w:t>
      </w:r>
    </w:p>
    <w:p>
      <w:pPr>
        <w:pStyle w:val="BodyText"/>
      </w:pPr>
      <m:oMath>
        <m:r>
          <m:t>S</m:t>
        </m:r>
      </m:oMath>
      <w:r>
        <w:t xml:space="preserve"> </w:t>
      </w:r>
      <w:r>
        <w:t xml:space="preserve">— доходы потребителей данного продукта. Считаем, что доходы всех потребителей одинаковы. Это предположение справедливо, если речь идет об одной рыночной нише, т.е. производимый продукт ориентирован на определенный слой населения.</w:t>
      </w:r>
    </w:p>
    <w:p>
      <w:pPr>
        <w:pStyle w:val="BodyText"/>
      </w:pPr>
      <m:oMath>
        <m:r>
          <m:t>M</m:t>
        </m:r>
      </m:oMath>
      <w:r>
        <w:t xml:space="preserve"> </w:t>
      </w:r>
      <w:r>
        <w:t xml:space="preserve">— оборотные средства предприятия.</w:t>
      </w:r>
    </w:p>
    <w:p>
      <w:pPr>
        <w:pStyle w:val="BodyText"/>
      </w:pPr>
      <m:oMath>
        <m:r>
          <m:t>τ</m:t>
        </m:r>
      </m:oMath>
      <w:r>
        <w:t xml:space="preserve"> </w:t>
      </w:r>
      <w:r>
        <w:t xml:space="preserve">— длительность производственного цикла.</w:t>
      </w:r>
    </w:p>
    <w:p>
      <w:pPr>
        <w:pStyle w:val="BodyText"/>
      </w:pPr>
      <m:oMath>
        <m:r>
          <m:t>p</m:t>
        </m:r>
      </m:oMath>
      <w:r>
        <w:t xml:space="preserve"> </w:t>
      </w:r>
      <w:r>
        <w:t xml:space="preserve">— рыночная цена товара.</w:t>
      </w:r>
    </w:p>
    <w:p>
      <w:pPr>
        <w:pStyle w:val="BodyText"/>
      </w:pPr>
      <m:oMath>
        <m:acc>
          <m:accPr>
            <m:chr m:val="̃"/>
          </m:accPr>
          <m:e>
            <m:r>
              <m:t>p</m:t>
            </m:r>
          </m:e>
        </m:acc>
      </m:oMath>
      <w:r>
        <w:t xml:space="preserve"> </w:t>
      </w:r>
      <w:r>
        <w:t xml:space="preserve">— себестоимость продукта, то есть переменные издержки на производство единицы продукции.</w:t>
      </w:r>
    </w:p>
    <w:p>
      <w:pPr>
        <w:pStyle w:val="BodyText"/>
      </w:pPr>
      <m:oMath>
        <m:r>
          <m:t>δ</m:t>
        </m:r>
      </m:oMath>
      <w:r>
        <w:t xml:space="preserve"> </w:t>
      </w:r>
      <w:r>
        <w:t xml:space="preserve">— доля оборотных средств, идущая на покрытие переменных издержек.</w:t>
      </w:r>
    </w:p>
    <w:p>
      <w:pPr>
        <w:pStyle w:val="BodyText"/>
      </w:pPr>
      <m:oMath>
        <m:r>
          <m:t>k</m:t>
        </m:r>
      </m:oMath>
      <w:r>
        <w:t xml:space="preserve"> </w:t>
      </w:r>
      <w:r>
        <w:t xml:space="preserve">— постоянные издержки, которые не зависят от количества выпускаемой продукции.</w:t>
      </w:r>
    </w:p>
    <w:p>
      <w:pPr>
        <w:pStyle w:val="BodyText"/>
      </w:pP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</m:oMath>
      <w:r>
        <w:t xml:space="preserve"> </w:t>
      </w:r>
      <w:r>
        <w:t xml:space="preserve">— функция спроса, зависящая от отношения дохода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к цене</w:t>
      </w:r>
      <w:r>
        <w:t xml:space="preserve"> </w:t>
      </w:r>
      <m:oMath>
        <m:r>
          <m:t>p</m:t>
        </m:r>
      </m:oMath>
      <w:r>
        <w:t xml:space="preserve">. Она равна количеству продукта, потребляемого одним потребителем в единицу времени.</w:t>
      </w:r>
    </w:p>
    <w:p>
      <w:pPr>
        <w:pStyle w:val="BodyText"/>
      </w:pPr>
      <w:r>
        <w:t xml:space="preserve">Функцию спроса товаров долговременного представляют в простейшей форме: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q</m:t>
        </m:r>
        <m:r>
          <m:rPr>
            <m:sty m:val="p"/>
          </m:rPr>
          <m:t>−</m:t>
        </m:r>
        <m:r>
          <m:t>k</m:t>
        </m:r>
        <m:f>
          <m:fPr>
            <m:type m:val="bar"/>
          </m:fPr>
          <m:num>
            <m:r>
              <m:t>p</m:t>
            </m:r>
          </m:num>
          <m:den>
            <m:r>
              <m:t>S</m:t>
            </m:r>
          </m:den>
        </m:f>
        <m:r>
          <m:rPr>
            <m:sty m:val="p"/>
          </m:rPr>
          <m:t>=</m:t>
        </m:r>
        <m:r>
          <m:t>q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p</m:t>
            </m:r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</m:oMath>
      <w:r>
        <w:t xml:space="preserve"> </w:t>
      </w:r>
      <w:r>
        <w:t xml:space="preserve">(1)</w:t>
      </w:r>
      <w:r>
        <w:t xml:space="preserve"> </w:t>
      </w:r>
      <w:r>
        <w:t xml:space="preserve">где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– максимальная потребность одного человека в продукте в единицу времени. Эта функция падает с ростом цены и при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 </w:t>
      </w:r>
      <w:r>
        <w:t xml:space="preserve">(критическая стоимость продукта) потребители отказываются от приобретения товара. Величина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S</m:t>
        </m:r>
        <m:r>
          <m:t>q</m:t>
        </m:r>
        <m:r>
          <m:rPr>
            <m:sty m:val="p"/>
          </m:rPr>
          <m:t>/</m:t>
        </m:r>
        <m:r>
          <m:t>k</m:t>
        </m:r>
      </m:oMath>
      <w:r>
        <w:t xml:space="preserve">. Параметр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– мера эластичности функции спроса по цене. Таким образом, функция спроса в форме (1) является пороговой (то есть,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при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) и обладает свойствами насыщения.</w:t>
      </w:r>
    </w:p>
    <w:p>
      <w:pPr>
        <w:pStyle w:val="BodyText"/>
      </w:pPr>
      <w:r>
        <w:t xml:space="preserve">Уравнения динамики оборотных средств можно записать в виде</w:t>
      </w:r>
    </w:p>
    <w:p>
      <w:pPr>
        <w:pStyle w:val="BodyText"/>
      </w:pPr>
      <m:oMath>
        <m:f>
          <m:fPr>
            <m:type m:val="bar"/>
          </m:fPr>
          <m:num>
            <m:r>
              <m:t>d</m:t>
            </m:r>
            <m:r>
              <m:t>M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M</m:t>
            </m:r>
            <m:r>
              <m:t>δ</m:t>
            </m:r>
          </m:num>
          <m:den>
            <m:r>
              <m:t>τ</m:t>
            </m:r>
          </m:den>
        </m:f>
        <m:r>
          <m:rPr>
            <m:sty m:val="p"/>
          </m:rPr>
          <m:t>+</m:t>
        </m:r>
        <m:r>
          <m:t>N</m:t>
        </m:r>
        <m:r>
          <m:t>q</m:t>
        </m:r>
        <m:r>
          <m:t>p</m:t>
        </m:r>
        <m:r>
          <m:rPr>
            <m:sty m:val="p"/>
          </m:rPr>
          <m:t>−</m:t>
        </m:r>
        <m:r>
          <m:t>k</m:t>
        </m:r>
        <m:r>
          <m:rPr>
            <m:sty m:val="p"/>
          </m:rPr>
          <m:t>=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M</m:t>
            </m:r>
            <m:r>
              <m:t>δ</m:t>
            </m:r>
          </m:num>
          <m:den>
            <m:r>
              <m:t>τ</m:t>
            </m:r>
          </m:den>
        </m:f>
        <m:r>
          <m:rPr>
            <m:sty m:val="p"/>
          </m:rPr>
          <m:t>+</m:t>
        </m:r>
        <m:r>
          <m:t>N</m:t>
        </m:r>
        <m:r>
          <m:t>q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p</m:t>
            </m:r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  <m:r>
          <m:t>p</m:t>
        </m:r>
        <m:r>
          <m:rPr>
            <m:sty m:val="p"/>
          </m:rPr>
          <m:t>−</m:t>
        </m:r>
        <m:r>
          <m:t>k</m:t>
        </m:r>
      </m:oMath>
      <w:r>
        <w:t xml:space="preserve"> </w:t>
      </w:r>
      <w:r>
        <w:t xml:space="preserve">(2)</w:t>
      </w:r>
    </w:p>
    <w:p>
      <w:pPr>
        <w:pStyle w:val="BodyText"/>
      </w:pPr>
      <w:r>
        <w:t xml:space="preserve">Уравнение для рыночной цены p представим в виде</w:t>
      </w:r>
    </w:p>
    <w:p>
      <w:pPr>
        <w:pStyle w:val="BodyText"/>
      </w:pPr>
      <m:oMath>
        <m:f>
          <m:fPr>
            <m:type m:val="bar"/>
          </m:fPr>
          <m:num>
            <m:r>
              <m:t>d</m:t>
            </m:r>
            <m:r>
              <m:t>p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γ</m:t>
        </m:r>
        <m:r>
          <m:rPr>
            <m:sty m:val="p"/>
          </m:rPr>
          <m:t>(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M</m:t>
            </m:r>
            <m:r>
              <m:t>δ</m:t>
            </m:r>
          </m:num>
          <m:den>
            <m:r>
              <m:t>τ</m:t>
            </m:r>
            <m:acc>
              <m:accPr>
                <m:chr m:val="̃"/>
              </m:accPr>
              <m:e>
                <m:r>
                  <m:t>p</m:t>
                </m:r>
              </m:e>
            </m:acc>
          </m:den>
        </m:f>
        <m:r>
          <m:rPr>
            <m:sty m:val="p"/>
          </m:rPr>
          <m:t>+</m:t>
        </m:r>
        <m:r>
          <m:t>N</m:t>
        </m:r>
        <m:r>
          <m:t>q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p</m:t>
            </m:r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  <m:r>
          <m:rPr>
            <m:sty m:val="p"/>
          </m:rPr>
          <m:t>)</m:t>
        </m:r>
      </m:oMath>
      <w:r>
        <w:t xml:space="preserve"> </w:t>
      </w:r>
      <w:r>
        <w:t xml:space="preserve">(3)</w:t>
      </w:r>
    </w:p>
    <w:p>
      <w:pPr>
        <w:pStyle w:val="BodyText"/>
      </w:pPr>
      <w:r>
        <w:t xml:space="preserve">Первый член соответствует количеству поставляемого на рынок товара (то есть, предложению), а второй член – спросу.</w:t>
      </w:r>
    </w:p>
    <w:p>
      <w:pPr>
        <w:pStyle w:val="BodyText"/>
      </w:pPr>
      <w:r>
        <w:t xml:space="preserve">Параметр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зависит от скорости оборота товаров на рынке. Как правило, время торгового оборота существенно меньше времени производственного цикла</w:t>
      </w:r>
      <w:r>
        <w:t xml:space="preserve"> </w:t>
      </w:r>
      <m:oMath>
        <m:r>
          <m:t>τ</m:t>
        </m:r>
      </m:oMath>
      <w:r>
        <w:t xml:space="preserve">. При заданном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уравнение (3) описывает быстрое стремление цены к равновесному значению цены, которое устойчиво.</w:t>
      </w:r>
    </w:p>
    <w:p>
      <w:pPr>
        <w:pStyle w:val="BodyText"/>
      </w:pPr>
      <w:r>
        <w:t xml:space="preserve">В этом случае уравнение (3) можно заменить алгебраическим соотношением</w:t>
      </w:r>
    </w:p>
    <w:p>
      <w:pPr>
        <w:pStyle w:val="BodyText"/>
      </w:pPr>
      <m:oMath>
        <m:r>
          <m:rPr>
            <m:sty m:val="p"/>
          </m:rPr>
          <m:t>−</m:t>
        </m:r>
        <m:f>
          <m:fPr>
            <m:type m:val="bar"/>
          </m:fPr>
          <m:num>
            <m:r>
              <m:t>M</m:t>
            </m:r>
            <m:r>
              <m:t>δ</m:t>
            </m:r>
          </m:num>
          <m:den>
            <m:r>
              <m:t>τ</m:t>
            </m:r>
            <m:acc>
              <m:accPr>
                <m:chr m:val="̃"/>
              </m:accPr>
              <m:e>
                <m:r>
                  <m:t>p</m:t>
                </m:r>
              </m:e>
            </m:acc>
          </m:den>
        </m:f>
        <m:r>
          <m:rPr>
            <m:sty m:val="p"/>
          </m:rPr>
          <m:t>+</m:t>
        </m:r>
        <m:r>
          <m:t>N</m:t>
        </m:r>
        <m:r>
          <m:t>q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p</m:t>
            </m:r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(4)</w:t>
      </w:r>
    </w:p>
    <w:p>
      <w:pPr>
        <w:pStyle w:val="BodyText"/>
      </w:pPr>
      <w:r>
        <w:t xml:space="preserve">Из (4) следует, что равновесное значение цены p равно</w:t>
      </w:r>
    </w:p>
    <w:p>
      <w:pPr>
        <w:pStyle w:val="BodyText"/>
      </w:pPr>
      <m:oMath>
        <m:r>
          <m:t>p</m:t>
        </m:r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r>
              <m:t>M</m:t>
            </m:r>
            <m:r>
              <m:t>δ</m:t>
            </m:r>
          </m:num>
          <m:den>
            <m:r>
              <m:t>τ</m:t>
            </m:r>
            <m:acc>
              <m:accPr>
                <m:chr m:val="̃"/>
              </m:accPr>
              <m:e>
                <m:r>
                  <m:t>p</m:t>
                </m:r>
              </m:e>
            </m:acc>
            <m:r>
              <m:t>N</m:t>
            </m:r>
            <m:r>
              <m:t>q</m:t>
            </m:r>
          </m:den>
        </m:f>
        <m:r>
          <m:rPr>
            <m:sty m:val="p"/>
          </m:rPr>
          <m:t>)</m:t>
        </m:r>
      </m:oMath>
      <w:r>
        <w:t xml:space="preserve"> </w:t>
      </w:r>
      <w:r>
        <w:t xml:space="preserve">(5)</w:t>
      </w:r>
    </w:p>
    <w:p>
      <w:pPr>
        <w:pStyle w:val="BodyText"/>
      </w:pPr>
      <w:r>
        <w:t xml:space="preserve">Уравнение (2) с учетом (5) приобретает вид</w:t>
      </w:r>
    </w:p>
    <w:p>
      <w:pPr>
        <w:pStyle w:val="BodyText"/>
      </w:pPr>
      <m:oMath>
        <m:f>
          <m:fPr>
            <m:type m:val="bar"/>
          </m:fPr>
          <m:num>
            <m:r>
              <m:t>d</m:t>
            </m:r>
            <m:r>
              <m:t>M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M</m:t>
        </m:r>
        <m:f>
          <m:fPr>
            <m:type m:val="bar"/>
          </m:fPr>
          <m:num>
            <m:r>
              <m:t>δ</m:t>
            </m:r>
          </m:num>
          <m:den>
            <m:r>
              <m:t>τ</m:t>
            </m:r>
          </m:den>
        </m:f>
        <m:r>
          <m:rPr>
            <m:sty m:val="p"/>
          </m:rPr>
          <m:t>(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acc>
              <m:accPr>
                <m:chr m:val="̃"/>
              </m:accPr>
              <m:e>
                <m:r>
                  <m:t>p</m:t>
                </m:r>
              </m:e>
            </m:acc>
          </m:den>
        </m:f>
        <m:r>
          <m:rPr>
            <m:sty m:val="p"/>
          </m:rPr>
          <m:t>−</m:t>
        </m:r>
        <m:r>
          <m:t>1</m:t>
        </m:r>
        <m:r>
          <m:rPr>
            <m:sty m:val="p"/>
          </m:rPr>
          <m:t>)</m:t>
        </m:r>
        <m:r>
          <m:rPr>
            <m:sty m:val="p"/>
          </m:rPr>
          <m:t>−</m:t>
        </m:r>
        <m:sSup>
          <m:e>
            <m:r>
              <m:t>M</m:t>
            </m:r>
          </m:e>
          <m:sup>
            <m:r>
              <m:t>2</m:t>
            </m:r>
          </m:sup>
        </m:sSup>
        <m:r>
          <m:rPr>
            <m:sty m:val="p"/>
          </m:rPr>
          <m:t>(</m:t>
        </m:r>
        <m:f>
          <m:fPr>
            <m:type m:val="bar"/>
          </m:fPr>
          <m:num>
            <m:r>
              <m:t>δ</m:t>
            </m:r>
          </m:num>
          <m:den>
            <m:r>
              <m:t>τ</m:t>
            </m:r>
            <m:acc>
              <m:accPr>
                <m:chr m:val="̃"/>
              </m:accPr>
              <m:e>
                <m:r>
                  <m:t>p</m:t>
                </m:r>
              </m:e>
            </m:acc>
          </m:den>
        </m:f>
        <m:sSup>
          <m:e>
            <m:r>
              <m:rPr>
                <m:sty m:val="p"/>
              </m:rPr>
              <m:t>)</m:t>
            </m:r>
          </m:e>
          <m:sup>
            <m:r>
              <m:t>2</m:t>
            </m:r>
          </m:sup>
        </m:sSup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r>
              <m:t>N</m:t>
            </m:r>
            <m:r>
              <m:t>q</m:t>
            </m:r>
          </m:den>
        </m:f>
        <m:r>
          <m:rPr>
            <m:sty m:val="p"/>
          </m:rPr>
          <m:t>−</m:t>
        </m:r>
        <m:r>
          <m:t>k</m:t>
        </m:r>
      </m:oMath>
      <w:r>
        <w:t xml:space="preserve"> </w:t>
      </w:r>
      <w:r>
        <w:t xml:space="preserve">(6)</w:t>
      </w:r>
    </w:p>
    <w:p>
      <w:pPr>
        <w:pStyle w:val="BodyText"/>
      </w:pPr>
      <w:r>
        <w:t xml:space="preserve">Уравнение (6) имеет два стационарных решения, соответствующих условию</w:t>
      </w:r>
      <w:r>
        <w:t xml:space="preserve"> 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:</w:t>
      </w:r>
    </w:p>
    <w:p>
      <w:pPr>
        <w:pStyle w:val="BodyText"/>
      </w:pP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a</m:t>
        </m:r>
        <m:r>
          <m:rPr>
            <m:sty m:val="p"/>
          </m:rPr>
          <m:t>±</m:t>
        </m:r>
        <m:rad>
          <m:radPr>
            <m:degHide m:val="1"/>
          </m:radPr>
          <m:deg/>
          <m:e>
            <m:f>
              <m:fPr>
                <m:type m:val="bar"/>
              </m:fPr>
              <m:num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4</m:t>
                </m:r>
              </m:den>
            </m:f>
            <m:r>
              <m:rPr>
                <m:sty m:val="p"/>
              </m:rPr>
              <m:t>−</m:t>
            </m:r>
            <m:r>
              <m:t>b</m:t>
            </m:r>
          </m:e>
        </m:rad>
      </m:oMath>
      <w:r>
        <w:t xml:space="preserve"> </w:t>
      </w:r>
      <w:r>
        <w:t xml:space="preserve">(7)</w:t>
      </w:r>
    </w:p>
    <w:p>
      <w:pPr>
        <w:pStyle w:val="BodyText"/>
      </w:pPr>
      <w:r>
        <w:t xml:space="preserve">где</w:t>
      </w:r>
    </w:p>
    <w:p>
      <w:pPr>
        <w:pStyle w:val="BodyText"/>
      </w:pPr>
      <m:oMath>
        <m:r>
          <m:t>a</m:t>
        </m:r>
        <m:r>
          <m:rPr>
            <m:sty m:val="p"/>
          </m:rPr>
          <m:t>=</m:t>
        </m:r>
        <m:r>
          <m:t>N</m:t>
        </m:r>
        <m:r>
          <m:t>q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acc>
              <m:accPr>
                <m:chr m:val="̃"/>
              </m:accPr>
              <m:e>
                <m:r>
                  <m:t>p</m:t>
                </m:r>
              </m:e>
            </m:acc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  <m:acc>
          <m:accPr>
            <m:chr m:val="̃"/>
          </m:accPr>
          <m:e>
            <m:r>
              <m:t>p</m:t>
            </m:r>
          </m:e>
        </m:acc>
        <m:f>
          <m:fPr>
            <m:type m:val="bar"/>
          </m:fPr>
          <m:num>
            <m:r>
              <m:t>τ</m:t>
            </m:r>
          </m:num>
          <m:den>
            <m:r>
              <m:t>δ</m:t>
            </m:r>
          </m:den>
        </m:f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k</m:t>
        </m:r>
        <m:r>
          <m:t>N</m:t>
        </m:r>
        <m:r>
          <m:t>q</m:t>
        </m:r>
        <m:f>
          <m:fPr>
            <m:type m:val="bar"/>
          </m:fPr>
          <m:num>
            <m:r>
              <m:rPr>
                <m:sty m:val="p"/>
              </m:rPr>
              <m:t>(</m:t>
            </m:r>
            <m:r>
              <m:t>τ</m:t>
            </m:r>
            <m:acc>
              <m:accPr>
                <m:chr m:val="̃"/>
              </m:accPr>
              <m:e>
                <m:r>
                  <m:t>p</m:t>
                </m:r>
              </m:e>
            </m:acc>
            <m:sSup>
              <m:e>
                <m:r>
                  <m:rPr>
                    <m:sty m:val="p"/>
                  </m:rPr>
                  <m:t>)</m:t>
                </m:r>
              </m:e>
              <m:sup>
                <m:r>
                  <m:t>2</m:t>
                </m:r>
              </m:sup>
            </m:sSup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sSup>
              <m:e>
                <m:r>
                  <m:t>δ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 </w:t>
      </w:r>
      <w:r>
        <w:t xml:space="preserve">(8)</w:t>
      </w:r>
    </w:p>
    <w:p>
      <w:pPr>
        <w:pStyle w:val="BodyText"/>
      </w:pPr>
      <w:r>
        <w:t xml:space="preserve">Из (7) следует, что при больших постоянных издержках (в случае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4</m:t>
        </m:r>
        <m:r>
          <m:t>b</m:t>
        </m:r>
      </m:oMath>
      <w:r>
        <w:t xml:space="preserve">) стационарных состояний нет. Это означает, что в этих условиях фирма не может функционировать стабильно, то есть, терпит банкротство. Однако, как правило, постоянные затраты малы по сравнению с переменными (то есть,</w:t>
      </w:r>
      <w:r>
        <w:t xml:space="preserve"> </w:t>
      </w:r>
      <m:oMath>
        <m:r>
          <m:t>b</m:t>
        </m:r>
        <m:r>
          <m:rPr>
            <m:sty m:val="p"/>
          </m:rPr>
          <m:t>&lt;</m:t>
        </m:r>
        <m:r>
          <m:rPr>
            <m:sty m:val="p"/>
          </m:rPr>
          <m:t>&lt;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) и играют роль, только в случае, когда оборотные средства малы. При</w:t>
      </w:r>
      <w:r>
        <w:t xml:space="preserve"> </w:t>
      </w:r>
      <m:oMath>
        <m:r>
          <m:t>b</m:t>
        </m:r>
        <m:r>
          <m:rPr>
            <m:sty m:val="p"/>
          </m:rPr>
          <m:t>&lt;</m:t>
        </m:r>
        <m:r>
          <m:rPr>
            <m:sty m:val="p"/>
          </m:rPr>
          <m:t>&lt;</m:t>
        </m:r>
        <m:r>
          <m:t>a</m:t>
        </m:r>
      </m:oMath>
      <w:r>
        <w:t xml:space="preserve"> </w:t>
      </w:r>
      <w:r>
        <w:t xml:space="preserve">стационарные значения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равны</w:t>
      </w:r>
    </w:p>
    <w:p>
      <w:pPr>
        <w:pStyle w:val="BodyText"/>
      </w:pP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+</m:t>
            </m:r>
          </m:sub>
        </m:sSub>
        <m:r>
          <m:rPr>
            <m:sty m:val="p"/>
          </m:rPr>
          <m:t>=</m:t>
        </m:r>
        <m:r>
          <m:t>N</m:t>
        </m:r>
        <m:r>
          <m:t>q</m:t>
        </m:r>
        <m:f>
          <m:fPr>
            <m:type m:val="bar"/>
          </m:fPr>
          <m:num>
            <m:r>
              <m:t>τ</m:t>
            </m:r>
          </m:num>
          <m:den>
            <m:r>
              <m:t>δ</m:t>
            </m:r>
          </m:den>
        </m:f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f>
          <m:fPr>
            <m:type m:val="bar"/>
          </m:fPr>
          <m:num>
            <m:acc>
              <m:accPr>
                <m:chr m:val="̃"/>
              </m:accPr>
              <m:e>
                <m:r>
                  <m:t>p</m:t>
                </m:r>
              </m:e>
            </m:acc>
          </m:num>
          <m:den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den>
        </m:f>
        <m:r>
          <m:rPr>
            <m:sty m:val="p"/>
          </m:rPr>
          <m:t>)</m:t>
        </m:r>
        <m:acc>
          <m:accPr>
            <m:chr m:val="̃"/>
          </m:accPr>
          <m:e>
            <m:r>
              <m:t>p</m:t>
            </m:r>
          </m:e>
        </m:acc>
        <m:r>
          <m:rPr>
            <m:sty m:val="p"/>
          </m:rPr>
          <m:t>,</m:t>
        </m:r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  <m:r>
          <m:rPr>
            <m:sty m:val="p"/>
          </m:rPr>
          <m:t>=</m:t>
        </m:r>
        <m:r>
          <m:t>k</m:t>
        </m:r>
        <m:acc>
          <m:accPr>
            <m:chr m:val="̃"/>
          </m:accPr>
          <m:e>
            <m:r>
              <m:t>p</m:t>
            </m:r>
          </m:e>
        </m:acc>
        <m:f>
          <m:fPr>
            <m:type m:val="bar"/>
          </m:fPr>
          <m:num>
            <m:r>
              <m:t>τ</m:t>
            </m:r>
          </m:num>
          <m:den>
            <m:r>
              <m:t>δ</m:t>
            </m:r>
            <m:r>
              <m:rPr>
                <m:sty m:val="p"/>
              </m:rPr>
              <m:t>(</m:t>
            </m:r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̃"/>
              </m:accPr>
              <m:e>
                <m:r>
                  <m:t>p</m:t>
                </m:r>
              </m:e>
            </m:acc>
            <m:r>
              <m:rPr>
                <m:sty m:val="p"/>
              </m:rPr>
              <m:t>)</m:t>
            </m:r>
          </m:den>
        </m:f>
      </m:oMath>
      <w:r>
        <w:t xml:space="preserve"> </w:t>
      </w:r>
      <w:r>
        <w:t xml:space="preserve">(9)</w:t>
      </w:r>
    </w:p>
    <w:p>
      <w:pPr>
        <w:pStyle w:val="BodyText"/>
      </w:pPr>
      <w:r>
        <w:t xml:space="preserve">Первое состояние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+</m:t>
            </m:r>
          </m:sub>
        </m:sSub>
      </m:oMath>
      <w:r>
        <w:t xml:space="preserve"> </w:t>
      </w:r>
      <w:r>
        <w:t xml:space="preserve">устойчиво и соответствует стабильному функционированию предприятия. Второе состояние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неустойчиво, так, что при</w:t>
      </w:r>
      <w:r>
        <w:t xml:space="preserve"> </w:t>
      </w:r>
      <m:oMath>
        <m:r>
          <m:t>M</m:t>
        </m:r>
        <m:r>
          <m:rPr>
            <m:sty m:val="p"/>
          </m:rPr>
          <m:t>&lt;</m:t>
        </m:r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оборотные средства падают (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&lt;</m:t>
        </m:r>
        <m:r>
          <m:t>0</m:t>
        </m:r>
      </m:oMath>
      <w:r>
        <w:t xml:space="preserve">), то есть, фирма идет к банкротству. По смыслу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M</m:t>
                </m:r>
              </m:e>
            </m:acc>
          </m:e>
          <m:sub>
            <m:r>
              <m:rPr>
                <m:sty m:val="p"/>
              </m:rPr>
              <m:t>−</m:t>
            </m:r>
          </m:sub>
        </m:sSub>
      </m:oMath>
      <w:r>
        <w:t xml:space="preserve"> </w:t>
      </w:r>
      <w:r>
        <w:t xml:space="preserve">соответствует начальному капиталу, необходимому для входа в рынок.</w:t>
      </w:r>
    </w:p>
    <w:p>
      <w:pPr>
        <w:pStyle w:val="BodyText"/>
      </w:pPr>
      <w:r>
        <w:t xml:space="preserve">В обсуждаемой модели параметр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всюду входит в сочетании с</w:t>
      </w:r>
      <w:r>
        <w:t xml:space="preserve"> </w:t>
      </w:r>
      <m:oMath>
        <m:r>
          <m:t>τ</m:t>
        </m:r>
      </m:oMath>
      <w:r>
        <w:t xml:space="preserve">. Это значит, что уменьшение доли оборотных средств, вкладываемых в производство, эквивалентно удлинению производственного цикла. Поэтому мы в дальнейшем положим: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</m:t>
        </m:r>
      </m:oMath>
      <w:r>
        <w:t xml:space="preserve">, а параметр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будем считать временем цикла, с учётом сказанного.</w:t>
      </w:r>
    </w:p>
    <w:bookmarkEnd w:id="22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9" w:name="построение-модели-для-первого-случая"/>
    <w:p>
      <w:pPr>
        <w:pStyle w:val="Heading2"/>
      </w:pPr>
      <w:r>
        <w:t xml:space="preserve">1. Построение модели для первого случая</w:t>
      </w:r>
    </w:p>
    <w:p>
      <w:pPr>
        <w:pStyle w:val="FirstParagraph"/>
      </w:pPr>
      <w:r>
        <w:t xml:space="preserve">Напишем программу для построения модели конкуренции фирм для первого случая. Работу будем выполнять в среде OpenModelica.</w:t>
      </w:r>
    </w:p>
    <w:p>
      <w:pPr>
        <w:pStyle w:val="BodyText"/>
      </w:pPr>
      <w:r>
        <w:t xml:space="preserve">Определим необходимые переменные и параметры и запишем уравнения.</w:t>
      </w:r>
    </w:p>
    <w:p>
      <w:pPr>
        <w:pStyle w:val="CaptionedFigure"/>
      </w:pPr>
      <w:bookmarkStart w:id="24" w:name="fig:001"/>
      <w:r>
        <w:drawing>
          <wp:inline>
            <wp:extent cx="5334000" cy="2990181"/>
            <wp:effectExtent b="0" l="0" r="0" t="0"/>
            <wp:docPr descr="Программа для первого случая (1)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Программа для первого случая (1)</w:t>
      </w:r>
    </w:p>
    <w:p>
      <w:pPr>
        <w:pStyle w:val="CaptionedFigure"/>
      </w:pPr>
      <w:bookmarkStart w:id="26" w:name="fig:002"/>
      <w:r>
        <w:drawing>
          <wp:inline>
            <wp:extent cx="5334000" cy="894033"/>
            <wp:effectExtent b="0" l="0" r="0" t="0"/>
            <wp:docPr descr="Программа для первого случая (2)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Программа для первого случая (2)</w:t>
      </w:r>
    </w:p>
    <w:p>
      <w:pPr>
        <w:pStyle w:val="BodyText"/>
      </w:pPr>
      <w:r>
        <w:t xml:space="preserve">Запустим симуляцию и отобразим на графике значения переменных</w:t>
      </w:r>
      <w:r>
        <w:t xml:space="preserve"> </w:t>
      </w:r>
      <m:oMath>
        <m:r>
          <m:t>M</m:t>
        </m:r>
      </m:oMath>
      <w:r>
        <w:t xml:space="preserve">, то есть значения оборотных средств, для обеих фирм.</w:t>
      </w:r>
    </w:p>
    <w:p>
      <w:pPr>
        <w:pStyle w:val="CaptionedFigure"/>
      </w:pPr>
      <w:bookmarkStart w:id="28" w:name="fig:003"/>
      <w:r>
        <w:drawing>
          <wp:inline>
            <wp:extent cx="5334000" cy="3056629"/>
            <wp:effectExtent b="0" l="0" r="0" t="0"/>
            <wp:docPr descr="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График для первого случая</w:t>
      </w:r>
    </w:p>
    <w:p>
      <w:pPr>
        <w:pStyle w:val="BodyText"/>
      </w:pPr>
      <w:r>
        <w:t xml:space="preserve">По графику видно, что рост оборотных средств предприятий идет</w:t>
      </w:r>
      <w:r>
        <w:t xml:space="preserve"> </w:t>
      </w:r>
      <w:r>
        <w:t xml:space="preserve">независимо друг от друга. Каждая фирма достигает свое максимальное значение объема продаж и остается на рынке с этим значением, то есть каждая фирма захватывает свою часть рынка потребителей, которая не изменяется.</w:t>
      </w:r>
    </w:p>
    <w:bookmarkEnd w:id="29"/>
    <w:bookmarkStart w:id="36" w:name="построение-модели-для-второго-случая"/>
    <w:p>
      <w:pPr>
        <w:pStyle w:val="Heading2"/>
      </w:pPr>
      <w:r>
        <w:t xml:space="preserve">2. Построение модели для второго случая</w:t>
      </w:r>
    </w:p>
    <w:p>
      <w:pPr>
        <w:pStyle w:val="FirstParagraph"/>
      </w:pPr>
      <w:r>
        <w:t xml:space="preserve">Напишем программу для построения модели конкуренции фирм для второго случая.</w:t>
      </w:r>
    </w:p>
    <w:p>
      <w:pPr>
        <w:pStyle w:val="BodyText"/>
      </w:pPr>
      <w:r>
        <w:t xml:space="preserve">Переменные и значения параметров останутся прежними. Исправим уравнения в соответствии с условием задачи.</w:t>
      </w:r>
    </w:p>
    <w:p>
      <w:pPr>
        <w:pStyle w:val="CaptionedFigure"/>
      </w:pPr>
      <w:bookmarkStart w:id="31" w:name="fig:004"/>
      <w:r>
        <w:drawing>
          <wp:inline>
            <wp:extent cx="5334000" cy="2947895"/>
            <wp:effectExtent b="0" l="0" r="0" t="0"/>
            <wp:docPr descr="Программа для второго случая (1)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Программа для второго случая (1)</w:t>
      </w:r>
    </w:p>
    <w:p>
      <w:pPr>
        <w:pStyle w:val="CaptionedFigure"/>
      </w:pPr>
      <w:bookmarkStart w:id="33" w:name="fig:005"/>
      <w:r>
        <w:drawing>
          <wp:inline>
            <wp:extent cx="5334000" cy="773218"/>
            <wp:effectExtent b="0" l="0" r="0" t="0"/>
            <wp:docPr descr="Программа для второго случая (2)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Программа для второго случая (2)</w:t>
      </w:r>
    </w:p>
    <w:p>
      <w:pPr>
        <w:pStyle w:val="BodyText"/>
      </w:pPr>
      <w:r>
        <w:t xml:space="preserve">Запустим симуляцию и отобразим на графике значения переменных</w:t>
      </w:r>
      <w:r>
        <w:t xml:space="preserve"> </w:t>
      </w:r>
      <m:oMath>
        <m:r>
          <m:t>M</m:t>
        </m:r>
      </m:oMath>
      <w:r>
        <w:t xml:space="preserve">, то есть значения оборотных средств, для обеих фирм.</w:t>
      </w:r>
    </w:p>
    <w:p>
      <w:pPr>
        <w:pStyle w:val="CaptionedFigure"/>
      </w:pPr>
      <w:bookmarkStart w:id="35" w:name="fig:006"/>
      <w:r>
        <w:drawing>
          <wp:inline>
            <wp:extent cx="5334000" cy="3050588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График для второго случая</w:t>
      </w:r>
    </w:p>
    <w:p>
      <w:pPr>
        <w:pStyle w:val="BodyText"/>
      </w:pPr>
      <w:r>
        <w:t xml:space="preserve">По графику видно, что первая фирма, несмотря на начальный рост, достигнув своего максимального объема продаж, начитает нести убытки и, в итоге, терпит банкротство. Динамика роста объемов оборотных средств второй фирмы остается без изменения: достигнув максимального значения, остается на этом уровне.</w:t>
      </w:r>
    </w:p>
    <w:bookmarkEnd w:id="36"/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научились строить модели конкуренции двух фирм в среде OpenModelica.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p>
      <w:pPr>
        <w:numPr>
          <w:ilvl w:val="0"/>
          <w:numId w:val="1002"/>
        </w:numPr>
        <w:pStyle w:val="Compact"/>
      </w:pPr>
      <w:r>
        <w:t xml:space="preserve">Документация OpenModelica https://www.openmodelica.org/doc/OpenModelicaUsersGuide/latest/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Евсеева Дарья Олеговна</dc:creator>
  <dc:language>ru-RU</dc:language>
  <cp:keywords/>
  <dcterms:created xsi:type="dcterms:W3CDTF">2022-04-01T18:28:05Z</dcterms:created>
  <dcterms:modified xsi:type="dcterms:W3CDTF">2022-04-01T18:28:05Z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1 апреля,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Построение модели конкуренции двух фирм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