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>
          <w:i w:val="0"/>
        </w:rPr>
      </w:pPr>
      <w:r w:rsidDel="00000000" w:rsidR="00000000" w:rsidRPr="00000000">
        <w:rPr>
          <w:rtl w:val="0"/>
        </w:rPr>
        <w:t xml:space="preserve">Кафедра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Сутності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має назву і знаходиться в корпусі (будівлі)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Викладач має прізвище і посаду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 має назву, кількість годин лекційних і семінарських. З курсом зв’язана сума кредитів та форма підсумку (залік/екзамен). Деякі курси є нормативні (для отримання диплома потрібно прослухати всі нормативні курси)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30040</wp:posOffset>
            </wp:positionH>
            <wp:positionV relativeFrom="paragraph">
              <wp:posOffset>557530</wp:posOffset>
            </wp:positionV>
            <wp:extent cx="6120765" cy="562229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2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Зв’язки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має штат викладачів і набір курсів, за які відповідає.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Викладач працює на певній кафедрі і веде заняття за декількома курсами, не обов’язково за тими, за які відповідає кафедра.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кожний курс відповідає одна кафедра. За курсом проводяться заняття: лекції та семінари, кількість яких визначається програмою. Всі курси діляться на нормативні і вибіркові. Курс вивчається в групах. З окремими курсами можуть бути зв’язано декілька інших курсів-передумов.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Пов'язані підсистеми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Ведення списку кафедр та викладачів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Видача інформації про склад кафедри та її навантаження на учбовий семестр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Видача інформації про навантаження викладача на семестр/учбовий рік.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Ведення списку курсів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Видача інформації про розподіл курсів між кафедрами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Видача інформації про розподіл курсу (лекції/семінари) між викладачами в конкретному семестрі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65" w:hanging="360"/>
      </w:pPr>
      <w:rPr/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16639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16639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16639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16639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List Paragraph"/>
    <w:basedOn w:val="a"/>
    <w:uiPriority w:val="34"/>
    <w:qFormat w:val="1"/>
    <w:rsid w:val="00166399"/>
    <w:pPr>
      <w:ind w:left="720"/>
      <w:contextualSpacing w:val="1"/>
    </w:pPr>
  </w:style>
  <w:style w:type="character" w:styleId="a4">
    <w:name w:val="Emphasis"/>
    <w:basedOn w:val="a0"/>
    <w:uiPriority w:val="20"/>
    <w:qFormat w:val="1"/>
    <w:rsid w:val="009170D0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2019-01-06T15:52:00Z</dcterms:created>
  <dc:creator>user</dc:creator>
</cp:coreProperties>
</file>