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left"/>
      </w:pPr>
      <w:r>
        <w:rPr>
          <w:rFonts w:ascii="Liberation Sans" w:hAnsi="Liberation Sans"/>
          <w:b/>
          <w:color w:val="193755"/>
          <w:sz w:val="52"/>
        </w:rPr>
        <w:t>Defuse Inspect Engine</w:t>
      </w:r>
    </w:p>
    <w:p>
      <w:pPr>
        <w:spacing w:after="360"/>
      </w:pPr>
      <w:r>
        <w:rPr>
          <w:rFonts w:ascii="Liberation Sans" w:hAnsi="Liberation Sans"/>
          <w:color w:val="46555F"/>
          <w:sz w:val="28"/>
        </w:rPr>
        <w:t>How Defuse discovers, correlates, and reports suspicious activity</w:t>
      </w:r>
    </w:p>
    <w:p>
      <w:pPr>
        <w:spacing w:after="120" w:line="259" w:lineRule="auto"/>
      </w:pPr>
      <w:r>
        <w:rPr>
          <w:rFonts w:ascii="Liberation Sans" w:hAnsi="Liberation Sans"/>
          <w:sz w:val="20"/>
        </w:rPr>
        <w:t>Inspect is the discovery and correlation phase of Defuse. It builds a platform-specific picture of the running system, connects process activity with network activity and persistence mechanisms, and produces one or more suspicious Targets for the eradication phase. Inspect does not remove or modify anything.</w:t>
      </w:r>
    </w:p>
    <w:p>
      <w:pPr>
        <w:pStyle w:val="Heading2"/>
      </w:pPr>
      <w:r>
        <w:rPr>
          <w:rFonts w:ascii="Liberation Sans" w:hAnsi="Liberation Sans"/>
          <w:b/>
          <w:color w:val="193755"/>
          <w:sz w:val="26"/>
        </w:rPr>
        <w:t>Execution at a glance</w:t>
      </w:r>
    </w:p>
    <w:p>
      <w:pPr>
        <w:pStyle w:val="CodeBlock"/>
      </w:pPr>
      <w:r>
        <w:rPr>
          <w:rFonts w:ascii="DejaVu Sans Mono" w:hAnsi="DejaVu Sans Mono"/>
          <w:sz w:val="17"/>
        </w:rPr>
        <w:t>Inspect()</w:t>
        <w:br/>
      </w:r>
      <w:r>
        <w:rPr>
          <w:rFonts w:ascii="DejaVu Sans Mono" w:hAnsi="DejaVu Sans Mono"/>
          <w:sz w:val="17"/>
        </w:rPr>
        <w:t xml:space="preserve">  |</w:t>
        <w:br/>
      </w:r>
      <w:r>
        <w:rPr>
          <w:rFonts w:ascii="DejaVu Sans Mono" w:hAnsi="DejaVu Sans Mono"/>
          <w:sz w:val="17"/>
        </w:rPr>
        <w:t xml:space="preserve">  +-- Processes()</w:t>
        <w:br/>
      </w:r>
      <w:r>
        <w:rPr>
          <w:rFonts w:ascii="DejaVu Sans Mono" w:hAnsi="DejaVu Sans Mono"/>
          <w:sz w:val="17"/>
        </w:rPr>
        <w:t xml:space="preserve">  +-- Connections()</w:t>
        <w:br/>
      </w:r>
      <w:r>
        <w:rPr>
          <w:rFonts w:ascii="DejaVu Sans Mono" w:hAnsi="DejaVu Sans Mono"/>
          <w:sz w:val="17"/>
        </w:rPr>
        <w:t xml:space="preserve">  +-- Persistence()</w:t>
        <w:br/>
      </w:r>
      <w:r>
        <w:rPr>
          <w:rFonts w:ascii="DejaVu Sans Mono" w:hAnsi="DejaVu Sans Mono"/>
          <w:sz w:val="17"/>
        </w:rPr>
        <w:t xml:space="preserve">  |</w:t>
        <w:br/>
      </w:r>
      <w:r>
        <w:rPr>
          <w:rFonts w:ascii="DejaVu Sans Mono" w:hAnsi="DejaVu Sans Mono"/>
          <w:sz w:val="17"/>
        </w:rPr>
        <w:t xml:space="preserve">  +-- Correlate(processes, connections, persistence)</w:t>
        <w:br/>
      </w:r>
      <w:r>
        <w:rPr>
          <w:rFonts w:ascii="DejaVu Sans Mono" w:hAnsi="DejaVu Sans Mono"/>
          <w:sz w:val="17"/>
        </w:rPr>
        <w:t xml:space="preserve">          |</w:t>
        <w:br/>
      </w:r>
      <w:r>
        <w:rPr>
          <w:rFonts w:ascii="DejaVu Sans Mono" w:hAnsi="DejaVu Sans Mono"/>
          <w:sz w:val="17"/>
        </w:rPr>
        <w:t xml:space="preserve">          +-- Findings</w:t>
        <w:br/>
      </w:r>
      <w:r>
        <w:rPr>
          <w:rFonts w:ascii="DejaVu Sans Mono" w:hAnsi="DejaVu Sans Mono"/>
          <w:sz w:val="17"/>
        </w:rPr>
        <w:t xml:space="preserve">          +-- Related processes</w:t>
        <w:br/>
      </w:r>
      <w:r>
        <w:rPr>
          <w:rFonts w:ascii="DejaVu Sans Mono" w:hAnsi="DejaVu Sans Mono"/>
          <w:sz w:val="17"/>
        </w:rPr>
        <w:t xml:space="preserve">          +-- Target connections</w:t>
        <w:br/>
      </w:r>
      <w:r>
        <w:rPr>
          <w:rFonts w:ascii="DejaVu Sans Mono" w:hAnsi="DejaVu Sans Mono"/>
          <w:sz w:val="17"/>
        </w:rPr>
        <w:t xml:space="preserve">          +-- Matched persistence</w:t>
        <w:br/>
      </w:r>
      <w:r>
        <w:rPr>
          <w:rFonts w:ascii="DejaVu Sans Mono" w:hAnsi="DejaVu Sans Mono"/>
          <w:sz w:val="17"/>
        </w:rPr>
        <w:t xml:space="preserve">          +-- Confidence</w:t>
        <w:br/>
      </w:r>
      <w:r>
        <w:rPr>
          <w:rFonts w:ascii="DejaVu Sans Mono" w:hAnsi="DejaVu Sans Mono"/>
          <w:sz w:val="17"/>
        </w:rPr>
        <w:t xml:space="preserve">          |</w:t>
        <w:br/>
      </w:r>
      <w:r>
        <w:rPr>
          <w:rFonts w:ascii="DejaVu Sans Mono" w:hAnsi="DejaVu Sans Mono"/>
          <w:sz w:val="17"/>
        </w:rPr>
        <w:t xml:space="preserve">          `-- []knowledge.Target</w:t>
      </w:r>
    </w:p>
    <w:p>
      <w:pPr>
        <w:spacing w:after="120" w:line="259" w:lineRule="auto"/>
      </w:pPr>
      <w:r>
        <w:rPr>
          <w:rFonts w:ascii="Liberation Sans" w:hAnsi="Liberation Sans"/>
          <w:sz w:val="20"/>
        </w:rPr>
        <w:t>The Linux and Windows Inspect controllers expose the same flow, while the implementation details live in separate platform packages. Cross-platform collection that already has a stable abstraction, such as network connection enumeration through gopsutil, remains under the shared package.</w:t>
      </w:r>
    </w:p>
    <w:p>
      <w:pPr>
        <w:pStyle w:val="Heading1"/>
      </w:pPr>
      <w:r>
        <w:rPr>
          <w:rFonts w:ascii="Liberation Sans" w:hAnsi="Liberation Sans"/>
          <w:b/>
          <w:color w:val="193755"/>
          <w:sz w:val="32"/>
        </w:rPr>
        <w:t>1. Package layout and responsibility</w:t>
      </w:r>
    </w:p>
    <w:p>
      <w:pPr>
        <w:pStyle w:val="CodeBlock"/>
      </w:pPr>
      <w:r>
        <w:rPr>
          <w:rFonts w:ascii="DejaVu Sans Mono" w:hAnsi="DejaVu Sans Mono"/>
          <w:sz w:val="17"/>
        </w:rPr>
        <w:t>internal/engines/inspect/</w:t>
        <w:br/>
      </w:r>
      <w:r>
        <w:rPr>
          <w:rFonts w:ascii="DejaVu Sans Mono" w:hAnsi="DejaVu Sans Mono"/>
          <w:sz w:val="17"/>
        </w:rPr>
        <w:t>├── inspect_linux.go</w:t>
        <w:br/>
      </w:r>
      <w:r>
        <w:rPr>
          <w:rFonts w:ascii="DejaVu Sans Mono" w:hAnsi="DejaVu Sans Mono"/>
          <w:sz w:val="17"/>
        </w:rPr>
        <w:t>├── inspect_windows.go</w:t>
        <w:br/>
      </w:r>
      <w:r>
        <w:rPr>
          <w:rFonts w:ascii="DejaVu Sans Mono" w:hAnsi="DejaVu Sans Mono"/>
          <w:sz w:val="17"/>
        </w:rPr>
        <w:t>├── inspect_other.go</w:t>
        <w:br/>
      </w:r>
      <w:r>
        <w:rPr>
          <w:rFonts w:ascii="DejaVu Sans Mono" w:hAnsi="DejaVu Sans Mono"/>
          <w:sz w:val="17"/>
        </w:rPr>
        <w:t>├── result.go</w:t>
        <w:br/>
      </w:r>
      <w:r>
        <w:rPr>
          <w:rFonts w:ascii="DejaVu Sans Mono" w:hAnsi="DejaVu Sans Mono"/>
          <w:sz w:val="17"/>
        </w:rPr>
        <w:t>└── internal/</w:t>
        <w:br/>
      </w:r>
      <w:r>
        <w:rPr>
          <w:rFonts w:ascii="DejaVu Sans Mono" w:hAnsi="DejaVu Sans Mono"/>
          <w:sz w:val="17"/>
        </w:rPr>
        <w:t xml:space="preserve">    ├── shared/</w:t>
        <w:br/>
      </w:r>
      <w:r>
        <w:rPr>
          <w:rFonts w:ascii="DejaVu Sans Mono" w:hAnsi="DejaVu Sans Mono"/>
          <w:sz w:val="17"/>
        </w:rPr>
        <w:t xml:space="preserve">    │   ├── connections.go</w:t>
        <w:br/>
      </w:r>
      <w:r>
        <w:rPr>
          <w:rFonts w:ascii="DejaVu Sans Mono" w:hAnsi="DejaVu Sans Mono"/>
          <w:sz w:val="17"/>
        </w:rPr>
        <w:t xml:space="preserve">    │   ├── network.go</w:t>
        <w:br/>
      </w:r>
      <w:r>
        <w:rPr>
          <w:rFonts w:ascii="DejaVu Sans Mono" w:hAnsi="DejaVu Sans Mono"/>
          <w:sz w:val="17"/>
        </w:rPr>
        <w:t xml:space="preserve">    │   └── processes.go</w:t>
        <w:br/>
      </w:r>
      <w:r>
        <w:rPr>
          <w:rFonts w:ascii="DejaVu Sans Mono" w:hAnsi="DejaVu Sans Mono"/>
          <w:sz w:val="17"/>
        </w:rPr>
        <w:t xml:space="preserve">    ├── linux/</w:t>
        <w:br/>
      </w:r>
      <w:r>
        <w:rPr>
          <w:rFonts w:ascii="DejaVu Sans Mono" w:hAnsi="DejaVu Sans Mono"/>
          <w:sz w:val="17"/>
        </w:rPr>
        <w:t xml:space="preserve">    │   ├── processes.go</w:t>
        <w:br/>
      </w:r>
      <w:r>
        <w:rPr>
          <w:rFonts w:ascii="DejaVu Sans Mono" w:hAnsi="DejaVu Sans Mono"/>
          <w:sz w:val="17"/>
        </w:rPr>
        <w:t xml:space="preserve">    │   ├── persistence.go</w:t>
        <w:br/>
      </w:r>
      <w:r>
        <w:rPr>
          <w:rFonts w:ascii="DejaVu Sans Mono" w:hAnsi="DejaVu Sans Mono"/>
          <w:sz w:val="17"/>
        </w:rPr>
        <w:t xml:space="preserve">    │   ├── autostart.go</w:t>
        <w:br/>
      </w:r>
      <w:r>
        <w:rPr>
          <w:rFonts w:ascii="DejaVu Sans Mono" w:hAnsi="DejaVu Sans Mono"/>
          <w:sz w:val="17"/>
        </w:rPr>
        <w:t xml:space="preserve">    │   ├── cron.go</w:t>
        <w:br/>
      </w:r>
      <w:r>
        <w:rPr>
          <w:rFonts w:ascii="DejaVu Sans Mono" w:hAnsi="DejaVu Sans Mono"/>
          <w:sz w:val="17"/>
        </w:rPr>
        <w:t xml:space="preserve">    │   ├── services.go</w:t>
        <w:br/>
      </w:r>
      <w:r>
        <w:rPr>
          <w:rFonts w:ascii="DejaVu Sans Mono" w:hAnsi="DejaVu Sans Mono"/>
          <w:sz w:val="17"/>
        </w:rPr>
        <w:t xml:space="preserve">    │   ├── timers.go</w:t>
        <w:br/>
      </w:r>
      <w:r>
        <w:rPr>
          <w:rFonts w:ascii="DejaVu Sans Mono" w:hAnsi="DejaVu Sans Mono"/>
          <w:sz w:val="17"/>
        </w:rPr>
        <w:t xml:space="preserve">    │   └── correlate.go</w:t>
        <w:br/>
      </w:r>
      <w:r>
        <w:rPr>
          <w:rFonts w:ascii="DejaVu Sans Mono" w:hAnsi="DejaVu Sans Mono"/>
          <w:sz w:val="17"/>
        </w:rPr>
        <w:t xml:space="preserve">    └── windows/</w:t>
        <w:br/>
      </w:r>
      <w:r>
        <w:rPr>
          <w:rFonts w:ascii="DejaVu Sans Mono" w:hAnsi="DejaVu Sans Mono"/>
          <w:sz w:val="17"/>
        </w:rPr>
        <w:t xml:space="preserve">        ├── processes.go</w:t>
        <w:br/>
      </w:r>
      <w:r>
        <w:rPr>
          <w:rFonts w:ascii="DejaVu Sans Mono" w:hAnsi="DejaVu Sans Mono"/>
          <w:sz w:val="17"/>
        </w:rPr>
        <w:t xml:space="preserve">        ├── persistence.go</w:t>
        <w:br/>
      </w:r>
      <w:r>
        <w:rPr>
          <w:rFonts w:ascii="DejaVu Sans Mono" w:hAnsi="DejaVu Sans Mono"/>
          <w:sz w:val="17"/>
        </w:rPr>
        <w:t xml:space="preserve">        ├── registry.go</w:t>
        <w:br/>
      </w:r>
      <w:r>
        <w:rPr>
          <w:rFonts w:ascii="DejaVu Sans Mono" w:hAnsi="DejaVu Sans Mono"/>
          <w:sz w:val="17"/>
        </w:rPr>
        <w:t xml:space="preserve">        ├── startup.go</w:t>
        <w:br/>
      </w:r>
      <w:r>
        <w:rPr>
          <w:rFonts w:ascii="DejaVu Sans Mono" w:hAnsi="DejaVu Sans Mono"/>
          <w:sz w:val="17"/>
        </w:rPr>
        <w:t xml:space="preserve">        ├── services.go</w:t>
        <w:br/>
      </w:r>
      <w:r>
        <w:rPr>
          <w:rFonts w:ascii="DejaVu Sans Mono" w:hAnsi="DejaVu Sans Mono"/>
          <w:sz w:val="17"/>
        </w:rPr>
        <w:t xml:space="preserve">        ├── tasks.go</w:t>
        <w:br/>
      </w:r>
      <w:r>
        <w:rPr>
          <w:rFonts w:ascii="DejaVu Sans Mono" w:hAnsi="DejaVu Sans Mono"/>
          <w:sz w:val="17"/>
        </w:rPr>
        <w:t xml:space="preserve">        ├── winlogon.go</w:t>
        <w:br/>
      </w:r>
      <w:r>
        <w:rPr>
          <w:rFonts w:ascii="DejaVu Sans Mono" w:hAnsi="DejaVu Sans Mono"/>
          <w:sz w:val="17"/>
        </w:rPr>
        <w:t xml:space="preserve">        ├── appinit.go</w:t>
        <w:br/>
      </w:r>
      <w:r>
        <w:rPr>
          <w:rFonts w:ascii="DejaVu Sans Mono" w:hAnsi="DejaVu Sans Mono"/>
          <w:sz w:val="17"/>
        </w:rPr>
        <w:t xml:space="preserve">        ├── image_hijack.go</w:t>
        <w:br/>
      </w:r>
      <w:r>
        <w:rPr>
          <w:rFonts w:ascii="DejaVu Sans Mono" w:hAnsi="DejaVu Sans Mono"/>
          <w:sz w:val="17"/>
        </w:rPr>
        <w:t xml:space="preserve">        └── correlate.go</w:t>
      </w:r>
    </w:p>
    <w:p>
      <w:pPr>
        <w:spacing w:after="120" w:line="259" w:lineRule="auto"/>
      </w:pPr>
      <w:r>
        <w:rPr>
          <w:rFonts w:ascii="Liberation Sans" w:hAnsi="Liberation Sans"/>
          <w:sz w:val="20"/>
        </w:rPr>
        <w:t>The top-level Inspect controller only orchestrates collection. It does not contain platform detection heuristics. Linux-specific and Windows-specific collection and correlation are deliberately separated so that each platform can evolve independently without complicating the shared API.</w:t>
      </w:r>
    </w:p>
    <w:p>
      <w:pPr>
        <w:pStyle w:val="Heading1"/>
      </w:pPr>
      <w:r>
        <w:rPr>
          <w:rFonts w:ascii="Liberation Sans" w:hAnsi="Liberation Sans"/>
          <w:b/>
          <w:color w:val="193755"/>
          <w:sz w:val="32"/>
        </w:rPr>
        <w:t>2. Data collected by Inspect</w:t>
      </w:r>
    </w:p>
    <w:p>
      <w:pPr>
        <w:pStyle w:val="Heading2"/>
      </w:pPr>
      <w:r>
        <w:rPr>
          <w:rFonts w:ascii="Liberation Sans" w:hAnsi="Liberation Sans"/>
          <w:b/>
          <w:color w:val="193755"/>
          <w:sz w:val="26"/>
        </w:rPr>
        <w:t>Processes</w:t>
      </w:r>
    </w:p>
    <w:p>
      <w:pPr>
        <w:spacing w:after="120" w:line="259" w:lineRule="auto"/>
      </w:pPr>
      <w:r>
        <w:rPr>
          <w:rFonts w:ascii="Liberation Sans" w:hAnsi="Liberation Sans"/>
          <w:sz w:val="20"/>
        </w:rPr>
        <w:t>Every running process is represented as a knowledge.Process. The common fields used by correlation are PID, parent PID (PPID), executable name, executable path, and command line when available.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244A67"/>
            <w:tcMar>
              <w:top w:w="80" w:type="dxa"/>
              <w:start w:w="100" w:type="dxa"/>
              <w:bottom w:w="80" w:type="dxa"/>
              <w:end w:w="100" w:type="dxa"/>
            </w:tcMar>
            <w:vAlign w:val="center"/>
          </w:tcPr>
          <w:p>
            <w:r/>
            <w:r>
              <w:rPr>
                <w:rFonts w:ascii="Liberation Sans" w:hAnsi="Liberation Sans"/>
                <w:b/>
                <w:color w:val="FFFFFF"/>
                <w:sz w:val="18"/>
              </w:rPr>
              <w:t>Platform</w:t>
            </w:r>
          </w:p>
        </w:tc>
        <w:tc>
          <w:tcPr>
            <w:tcW w:type="dxa" w:w="3528"/>
            <w:shd w:fill="244A67"/>
            <w:tcMar>
              <w:top w:w="80" w:type="dxa"/>
              <w:start w:w="100" w:type="dxa"/>
              <w:bottom w:w="80" w:type="dxa"/>
              <w:end w:w="100" w:type="dxa"/>
            </w:tcMar>
            <w:vAlign w:val="center"/>
          </w:tcPr>
          <w:p>
            <w:r/>
            <w:r>
              <w:rPr>
                <w:rFonts w:ascii="Liberation Sans" w:hAnsi="Liberation Sans"/>
                <w:b/>
                <w:color w:val="FFFFFF"/>
                <w:sz w:val="18"/>
              </w:rPr>
              <w:t>Collection method</w:t>
            </w:r>
          </w:p>
        </w:tc>
        <w:tc>
          <w:tcPr>
            <w:tcW w:type="dxa" w:w="4896"/>
            <w:shd w:fill="244A67"/>
            <w:tcMar>
              <w:top w:w="80" w:type="dxa"/>
              <w:start w:w="100" w:type="dxa"/>
              <w:bottom w:w="80" w:type="dxa"/>
              <w:end w:w="100" w:type="dxa"/>
            </w:tcMar>
            <w:vAlign w:val="center"/>
          </w:tcPr>
          <w:p>
            <w:r/>
            <w:r>
              <w:rPr>
                <w:rFonts w:ascii="Liberation Sans" w:hAnsi="Liberation Sans"/>
                <w:b/>
                <w:color w:val="FFFFFF"/>
                <w:sz w:val="18"/>
              </w:rPr>
              <w:t>Important data</w:t>
            </w:r>
          </w:p>
        </w:tc>
      </w:tr>
      <w:tr>
        <w:tc>
          <w:tcPr>
            <w:tcW w:type="dxa" w:w="1440"/>
            <w:tcMar>
              <w:top w:w="80" w:type="dxa"/>
              <w:start w:w="100" w:type="dxa"/>
              <w:bottom w:w="80" w:type="dxa"/>
              <w:end w:w="100" w:type="dxa"/>
            </w:tcMar>
            <w:vAlign w:val="center"/>
          </w:tcPr>
          <w:p>
            <w:r/>
            <w:r>
              <w:rPr>
                <w:rFonts w:ascii="Liberation Sans" w:hAnsi="Liberation Sans"/>
                <w:sz w:val="17"/>
              </w:rPr>
              <w:t>Linux</w:t>
            </w:r>
          </w:p>
        </w:tc>
        <w:tc>
          <w:tcPr>
            <w:tcW w:type="dxa" w:w="3528"/>
            <w:tcMar>
              <w:top w:w="80" w:type="dxa"/>
              <w:start w:w="100" w:type="dxa"/>
              <w:bottom w:w="80" w:type="dxa"/>
              <w:end w:w="100" w:type="dxa"/>
            </w:tcMar>
            <w:vAlign w:val="center"/>
          </w:tcPr>
          <w:p>
            <w:r/>
            <w:r>
              <w:rPr>
                <w:rFonts w:ascii="Liberation Sans" w:hAnsi="Liberation Sans"/>
                <w:sz w:val="17"/>
              </w:rPr>
              <w:t>/proc</w:t>
            </w:r>
          </w:p>
        </w:tc>
        <w:tc>
          <w:tcPr>
            <w:tcW w:type="dxa" w:w="4896"/>
            <w:tcMar>
              <w:top w:w="80" w:type="dxa"/>
              <w:start w:w="100" w:type="dxa"/>
              <w:bottom w:w="80" w:type="dxa"/>
              <w:end w:w="100" w:type="dxa"/>
            </w:tcMar>
            <w:vAlign w:val="center"/>
          </w:tcPr>
          <w:p>
            <w:r/>
            <w:r>
              <w:rPr>
                <w:rFonts w:ascii="Liberation Sans" w:hAnsi="Liberation Sans"/>
                <w:sz w:val="17"/>
              </w:rPr>
              <w:t>PID, PPID, /proc/&lt;pid&gt;/exe path, comm name, cmdline</w:t>
            </w:r>
          </w:p>
        </w:tc>
      </w:tr>
      <w:tr>
        <w:tc>
          <w:tcPr>
            <w:tcW w:type="dxa" w:w="1440"/>
            <w:shd w:fill="F3F6F8"/>
            <w:tcMar>
              <w:top w:w="80" w:type="dxa"/>
              <w:start w:w="100" w:type="dxa"/>
              <w:bottom w:w="80" w:type="dxa"/>
              <w:end w:w="100" w:type="dxa"/>
            </w:tcMar>
            <w:vAlign w:val="center"/>
          </w:tcPr>
          <w:p>
            <w:r/>
            <w:r>
              <w:rPr>
                <w:rFonts w:ascii="Liberation Sans" w:hAnsi="Liberation Sans"/>
                <w:sz w:val="17"/>
              </w:rPr>
              <w:t>Windows</w:t>
            </w:r>
          </w:p>
        </w:tc>
        <w:tc>
          <w:tcPr>
            <w:tcW w:type="dxa" w:w="3528"/>
            <w:shd w:fill="F3F6F8"/>
            <w:tcMar>
              <w:top w:w="80" w:type="dxa"/>
              <w:start w:w="100" w:type="dxa"/>
              <w:bottom w:w="80" w:type="dxa"/>
              <w:end w:w="100" w:type="dxa"/>
            </w:tcMar>
            <w:vAlign w:val="center"/>
          </w:tcPr>
          <w:p>
            <w:r/>
            <w:r>
              <w:rPr>
                <w:rFonts w:ascii="Liberation Sans" w:hAnsi="Liberation Sans"/>
                <w:sz w:val="17"/>
              </w:rPr>
              <w:t>Toolhelp process snapshot + process image query</w:t>
            </w:r>
          </w:p>
        </w:tc>
        <w:tc>
          <w:tcPr>
            <w:tcW w:type="dxa" w:w="4896"/>
            <w:shd w:fill="F3F6F8"/>
            <w:tcMar>
              <w:top w:w="80" w:type="dxa"/>
              <w:start w:w="100" w:type="dxa"/>
              <w:bottom w:w="80" w:type="dxa"/>
              <w:end w:w="100" w:type="dxa"/>
            </w:tcMar>
            <w:vAlign w:val="center"/>
          </w:tcPr>
          <w:p>
            <w:r/>
            <w:r>
              <w:rPr>
                <w:rFonts w:ascii="Liberation Sans" w:hAnsi="Liberation Sans"/>
                <w:sz w:val="17"/>
              </w:rPr>
              <w:t>PID, PPID, executable name, full executable path</w:t>
            </w:r>
          </w:p>
        </w:tc>
      </w:tr>
    </w:tbl>
    <w:p>
      <w:pPr>
        <w:spacing w:after="40"/>
      </w:pPr>
    </w:p>
    <w:p>
      <w:pPr>
        <w:pStyle w:val="Heading2"/>
      </w:pPr>
      <w:r>
        <w:rPr>
          <w:rFonts w:ascii="Liberation Sans" w:hAnsi="Liberation Sans"/>
          <w:b/>
          <w:color w:val="193755"/>
          <w:sz w:val="26"/>
        </w:rPr>
        <w:t>Network connections</w:t>
      </w:r>
    </w:p>
    <w:p>
      <w:pPr>
        <w:spacing w:after="120" w:line="259" w:lineRule="auto"/>
      </w:pPr>
      <w:r>
        <w:rPr>
          <w:rFonts w:ascii="Liberation Sans" w:hAnsi="Liberation Sans"/>
          <w:sz w:val="20"/>
        </w:rPr>
        <w:t>Connections are collected through gopsutil using the inet connection set. Each entry is normalized into PID, local address/port, remote address/port, and connection state. This gives correlation a direct process-to-network relationship instead of relying on textual command output.</w:t>
      </w:r>
    </w:p>
    <w:p>
      <w:pPr>
        <w:spacing w:after="120" w:line="259" w:lineRule="auto"/>
      </w:pPr>
      <w:r>
        <w:rPr>
          <w:rFonts w:ascii="Liberation Sans" w:hAnsi="Liberation Sans"/>
          <w:sz w:val="20"/>
        </w:rPr>
        <w:t>Shared network logic classifies a remote address as public only when it parses as an IP address, is globally routable, and is not private, loopback, or link-local. A public connection contributes evidence, but by itself is not enough to make a process a target.</w:t>
      </w:r>
    </w:p>
    <w:p>
      <w:pPr>
        <w:pStyle w:val="Heading2"/>
      </w:pPr>
      <w:r>
        <w:rPr>
          <w:rFonts w:ascii="Liberation Sans" w:hAnsi="Liberation Sans"/>
          <w:b/>
          <w:color w:val="193755"/>
          <w:sz w:val="26"/>
        </w:rPr>
        <w:t>Persistence</w:t>
      </w:r>
    </w:p>
    <w:p>
      <w:pPr>
        <w:spacing w:after="120" w:line="259" w:lineRule="auto"/>
      </w:pPr>
      <w:r>
        <w:rPr>
          <w:rFonts w:ascii="Liberation Sans" w:hAnsi="Liberation Sans"/>
          <w:sz w:val="20"/>
        </w:rPr>
        <w:t>Persistence collection records mechanisms that can cause software to start automatically or remain active across logins or reboots. Discovery does not classify every persistence entry as malicious; normal operating-system and application entries are expected and are only evidence when they correlate with other suspicious signals.</w:t>
      </w:r>
    </w:p>
    <w:p>
      <w:pPr>
        <w:pStyle w:val="Heading1"/>
      </w:pPr>
      <w:r>
        <w:rPr>
          <w:rFonts w:ascii="Liberation Sans" w:hAnsi="Liberation Sans"/>
          <w:b/>
          <w:color w:val="193755"/>
          <w:sz w:val="32"/>
        </w:rPr>
        <w:t>3. Linux persistence coverage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244A67"/>
            <w:tcMar>
              <w:top w:w="80" w:type="dxa"/>
              <w:start w:w="100" w:type="dxa"/>
              <w:bottom w:w="80" w:type="dxa"/>
              <w:end w:w="100" w:type="dxa"/>
            </w:tcMar>
            <w:vAlign w:val="center"/>
          </w:tcPr>
          <w:p>
            <w:r/>
            <w:r>
              <w:rPr>
                <w:rFonts w:ascii="Liberation Sans" w:hAnsi="Liberation Sans"/>
                <w:b/>
                <w:color w:val="FFFFFF"/>
                <w:sz w:val="18"/>
              </w:rPr>
              <w:t>Mechanism</w:t>
            </w:r>
          </w:p>
        </w:tc>
        <w:tc>
          <w:tcPr>
            <w:tcW w:type="dxa" w:w="7560"/>
            <w:shd w:fill="244A67"/>
            <w:tcMar>
              <w:top w:w="80" w:type="dxa"/>
              <w:start w:w="100" w:type="dxa"/>
              <w:bottom w:w="80" w:type="dxa"/>
              <w:end w:w="100" w:type="dxa"/>
            </w:tcMar>
            <w:vAlign w:val="center"/>
          </w:tcPr>
          <w:p>
            <w:r/>
            <w:r>
              <w:rPr>
                <w:rFonts w:ascii="Liberation Sans" w:hAnsi="Liberation Sans"/>
                <w:b/>
                <w:color w:val="FFFFFF"/>
                <w:sz w:val="18"/>
              </w:rPr>
              <w:t>What Inspect checks</w:t>
            </w:r>
          </w:p>
        </w:tc>
      </w:tr>
      <w:tr>
        <w:tc>
          <w:tcPr>
            <w:tcW w:type="dxa" w:w="2376"/>
            <w:tcMar>
              <w:top w:w="80" w:type="dxa"/>
              <w:start w:w="100" w:type="dxa"/>
              <w:bottom w:w="80" w:type="dxa"/>
              <w:end w:w="100" w:type="dxa"/>
            </w:tcMar>
            <w:vAlign w:val="center"/>
          </w:tcPr>
          <w:p>
            <w:r/>
            <w:r>
              <w:rPr>
                <w:rFonts w:ascii="Liberation Sans" w:hAnsi="Liberation Sans"/>
                <w:sz w:val="17"/>
              </w:rPr>
              <w:t>Desktop autostart</w:t>
            </w:r>
          </w:p>
        </w:tc>
        <w:tc>
          <w:tcPr>
            <w:tcW w:type="dxa" w:w="7560"/>
            <w:tcMar>
              <w:top w:w="80" w:type="dxa"/>
              <w:start w:w="100" w:type="dxa"/>
              <w:bottom w:w="80" w:type="dxa"/>
              <w:end w:w="100" w:type="dxa"/>
            </w:tcMar>
            <w:vAlign w:val="center"/>
          </w:tcPr>
          <w:p>
            <w:r/>
            <w:r>
              <w:rPr>
                <w:rFonts w:ascii="Liberation Sans" w:hAnsi="Liberation Sans"/>
                <w:sz w:val="17"/>
              </w:rPr>
              <w:t>~/.config/autostart and /etc/xdg/autostart .desktop files; extracts Exec=</w:t>
            </w:r>
          </w:p>
        </w:tc>
      </w:tr>
      <w:tr>
        <w:tc>
          <w:tcPr>
            <w:tcW w:type="dxa" w:w="2376"/>
            <w:shd w:fill="F3F6F8"/>
            <w:tcMar>
              <w:top w:w="80" w:type="dxa"/>
              <w:start w:w="100" w:type="dxa"/>
              <w:bottom w:w="80" w:type="dxa"/>
              <w:end w:w="100" w:type="dxa"/>
            </w:tcMar>
            <w:vAlign w:val="center"/>
          </w:tcPr>
          <w:p>
            <w:r/>
            <w:r>
              <w:rPr>
                <w:rFonts w:ascii="Liberation Sans" w:hAnsi="Liberation Sans"/>
                <w:sz w:val="17"/>
              </w:rPr>
              <w:t>Cron</w:t>
            </w:r>
          </w:p>
        </w:tc>
        <w:tc>
          <w:tcPr>
            <w:tcW w:type="dxa" w:w="7560"/>
            <w:shd w:fill="F3F6F8"/>
            <w:tcMar>
              <w:top w:w="80" w:type="dxa"/>
              <w:start w:w="100" w:type="dxa"/>
              <w:bottom w:w="80" w:type="dxa"/>
              <w:end w:w="100" w:type="dxa"/>
            </w:tcMar>
            <w:vAlign w:val="center"/>
          </w:tcPr>
          <w:p>
            <w:r/>
            <w:r>
              <w:rPr>
                <w:rFonts w:ascii="Liberation Sans" w:hAnsi="Liberation Sans"/>
                <w:sz w:val="17"/>
              </w:rPr>
              <w:t>/etc/crontab, /etc/cron.d, periodic cron directories, current-user crontab, cron spool files</w:t>
            </w:r>
          </w:p>
        </w:tc>
      </w:tr>
      <w:tr>
        <w:tc>
          <w:tcPr>
            <w:tcW w:type="dxa" w:w="2376"/>
            <w:tcMar>
              <w:top w:w="80" w:type="dxa"/>
              <w:start w:w="100" w:type="dxa"/>
              <w:bottom w:w="80" w:type="dxa"/>
              <w:end w:w="100" w:type="dxa"/>
            </w:tcMar>
            <w:vAlign w:val="center"/>
          </w:tcPr>
          <w:p>
            <w:r/>
            <w:r>
              <w:rPr>
                <w:rFonts w:ascii="Liberation Sans" w:hAnsi="Liberation Sans"/>
                <w:sz w:val="17"/>
              </w:rPr>
              <w:t>systemd services</w:t>
            </w:r>
          </w:p>
        </w:tc>
        <w:tc>
          <w:tcPr>
            <w:tcW w:type="dxa" w:w="7560"/>
            <w:tcMar>
              <w:top w:w="80" w:type="dxa"/>
              <w:start w:w="100" w:type="dxa"/>
              <w:bottom w:w="80" w:type="dxa"/>
              <w:end w:w="100" w:type="dxa"/>
            </w:tcMar>
            <w:vAlign w:val="center"/>
          </w:tcPr>
          <w:p>
            <w:r/>
            <w:r>
              <w:rPr>
                <w:rFonts w:ascii="Liberation Sans" w:hAnsi="Liberation Sans"/>
                <w:sz w:val="17"/>
              </w:rPr>
              <w:t>Enabled system and user services; records unit path and ExecStart</w:t>
            </w:r>
          </w:p>
        </w:tc>
      </w:tr>
      <w:tr>
        <w:tc>
          <w:tcPr>
            <w:tcW w:type="dxa" w:w="2376"/>
            <w:shd w:fill="F3F6F8"/>
            <w:tcMar>
              <w:top w:w="80" w:type="dxa"/>
              <w:start w:w="100" w:type="dxa"/>
              <w:bottom w:w="80" w:type="dxa"/>
              <w:end w:w="100" w:type="dxa"/>
            </w:tcMar>
            <w:vAlign w:val="center"/>
          </w:tcPr>
          <w:p>
            <w:r/>
            <w:r>
              <w:rPr>
                <w:rFonts w:ascii="Liberation Sans" w:hAnsi="Liberation Sans"/>
                <w:sz w:val="17"/>
              </w:rPr>
              <w:t>systemd timers</w:t>
            </w:r>
          </w:p>
        </w:tc>
        <w:tc>
          <w:tcPr>
            <w:tcW w:type="dxa" w:w="7560"/>
            <w:shd w:fill="F3F6F8"/>
            <w:tcMar>
              <w:top w:w="80" w:type="dxa"/>
              <w:start w:w="100" w:type="dxa"/>
              <w:bottom w:w="80" w:type="dxa"/>
              <w:end w:w="100" w:type="dxa"/>
            </w:tcMar>
            <w:vAlign w:val="center"/>
          </w:tcPr>
          <w:p>
            <w:r/>
            <w:r>
              <w:rPr>
                <w:rFonts w:ascii="Liberation Sans" w:hAnsi="Liberation Sans"/>
                <w:sz w:val="17"/>
              </w:rPr>
              <w:t>Enabled system and user timers; resolves timer to service and service ExecStart</w:t>
            </w:r>
          </w:p>
        </w:tc>
      </w:tr>
    </w:tbl>
    <w:p>
      <w:pPr>
        <w:spacing w:after="40"/>
      </w:pPr>
    </w:p>
    <w:p>
      <w:pPr>
        <w:spacing w:after="120" w:line="259" w:lineRule="auto"/>
      </w:pPr>
      <w:r>
        <w:rPr>
          <w:rFonts w:ascii="Liberation Sans" w:hAnsi="Liberation Sans"/>
          <w:sz w:val="20"/>
        </w:rPr>
        <w:t>Linux process collection also makes one platform-specific signal possible: a running executable whose /proc executable symlink ends in " (deleted)". That condition is treated as strong suspicious evidence during correlation.</w:t>
      </w:r>
    </w:p>
    <w:p>
      <w:pPr>
        <w:pStyle w:val="Heading1"/>
      </w:pPr>
      <w:r>
        <w:rPr>
          <w:rFonts w:ascii="Liberation Sans" w:hAnsi="Liberation Sans"/>
          <w:b/>
          <w:color w:val="193755"/>
          <w:sz w:val="32"/>
        </w:rPr>
        <w:t>4. Windows persistence coverage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244A67"/>
            <w:tcMar>
              <w:top w:w="80" w:type="dxa"/>
              <w:start w:w="100" w:type="dxa"/>
              <w:bottom w:w="80" w:type="dxa"/>
              <w:end w:w="100" w:type="dxa"/>
            </w:tcMar>
            <w:vAlign w:val="center"/>
          </w:tcPr>
          <w:p>
            <w:r/>
            <w:r>
              <w:rPr>
                <w:rFonts w:ascii="Liberation Sans" w:hAnsi="Liberation Sans"/>
                <w:b/>
                <w:color w:val="FFFFFF"/>
                <w:sz w:val="18"/>
              </w:rPr>
              <w:t>Mechanism</w:t>
            </w:r>
          </w:p>
        </w:tc>
        <w:tc>
          <w:tcPr>
            <w:tcW w:type="dxa" w:w="7560"/>
            <w:shd w:fill="244A67"/>
            <w:tcMar>
              <w:top w:w="80" w:type="dxa"/>
              <w:start w:w="100" w:type="dxa"/>
              <w:bottom w:w="80" w:type="dxa"/>
              <w:end w:w="100" w:type="dxa"/>
            </w:tcMar>
            <w:vAlign w:val="center"/>
          </w:tcPr>
          <w:p>
            <w:r/>
            <w:r>
              <w:rPr>
                <w:rFonts w:ascii="Liberation Sans" w:hAnsi="Liberation Sans"/>
                <w:b/>
                <w:color w:val="FFFFFF"/>
                <w:sz w:val="18"/>
              </w:rPr>
              <w:t>What Inspect checks</w:t>
            </w:r>
          </w:p>
        </w:tc>
      </w:tr>
      <w:tr>
        <w:tc>
          <w:tcPr>
            <w:tcW w:type="dxa" w:w="2376"/>
            <w:tcMar>
              <w:top w:w="80" w:type="dxa"/>
              <w:start w:w="100" w:type="dxa"/>
              <w:bottom w:w="80" w:type="dxa"/>
              <w:end w:w="100" w:type="dxa"/>
            </w:tcMar>
            <w:vAlign w:val="center"/>
          </w:tcPr>
          <w:p>
            <w:r/>
            <w:r>
              <w:rPr>
                <w:rFonts w:ascii="Liberation Sans" w:hAnsi="Liberation Sans"/>
                <w:sz w:val="17"/>
              </w:rPr>
              <w:t>Run / RunOnce</w:t>
            </w:r>
          </w:p>
        </w:tc>
        <w:tc>
          <w:tcPr>
            <w:tcW w:type="dxa" w:w="7560"/>
            <w:tcMar>
              <w:top w:w="80" w:type="dxa"/>
              <w:start w:w="100" w:type="dxa"/>
              <w:bottom w:w="80" w:type="dxa"/>
              <w:end w:w="100" w:type="dxa"/>
            </w:tcMar>
            <w:vAlign w:val="center"/>
          </w:tcPr>
          <w:p>
            <w:r/>
            <w:r>
              <w:rPr>
                <w:rFonts w:ascii="Liberation Sans" w:hAnsi="Liberation Sans"/>
                <w:sz w:val="17"/>
              </w:rPr>
              <w:t>HKCU and HKLM, both 64-bit and 32-bit registry views</w:t>
            </w:r>
          </w:p>
        </w:tc>
      </w:tr>
      <w:tr>
        <w:tc>
          <w:tcPr>
            <w:tcW w:type="dxa" w:w="2376"/>
            <w:shd w:fill="F3F6F8"/>
            <w:tcMar>
              <w:top w:w="80" w:type="dxa"/>
              <w:start w:w="100" w:type="dxa"/>
              <w:bottom w:w="80" w:type="dxa"/>
              <w:end w:w="100" w:type="dxa"/>
            </w:tcMar>
            <w:vAlign w:val="center"/>
          </w:tcPr>
          <w:p>
            <w:r/>
            <w:r>
              <w:rPr>
                <w:rFonts w:ascii="Liberation Sans" w:hAnsi="Liberation Sans"/>
                <w:sz w:val="17"/>
              </w:rPr>
              <w:t>Startup folders</w:t>
            </w:r>
          </w:p>
        </w:tc>
        <w:tc>
          <w:tcPr>
            <w:tcW w:type="dxa" w:w="7560"/>
            <w:shd w:fill="F3F6F8"/>
            <w:tcMar>
              <w:top w:w="80" w:type="dxa"/>
              <w:start w:w="100" w:type="dxa"/>
              <w:bottom w:w="80" w:type="dxa"/>
              <w:end w:w="100" w:type="dxa"/>
            </w:tcMar>
            <w:vAlign w:val="center"/>
          </w:tcPr>
          <w:p>
            <w:r/>
            <w:r>
              <w:rPr>
                <w:rFonts w:ascii="Liberation Sans" w:hAnsi="Liberation Sans"/>
                <w:sz w:val="17"/>
              </w:rPr>
              <w:t>Current-user and all-users Start Menu startup folders</w:t>
            </w:r>
          </w:p>
        </w:tc>
      </w:tr>
      <w:tr>
        <w:tc>
          <w:tcPr>
            <w:tcW w:type="dxa" w:w="2376"/>
            <w:tcMar>
              <w:top w:w="80" w:type="dxa"/>
              <w:start w:w="100" w:type="dxa"/>
              <w:bottom w:w="80" w:type="dxa"/>
              <w:end w:w="100" w:type="dxa"/>
            </w:tcMar>
            <w:vAlign w:val="center"/>
          </w:tcPr>
          <w:p>
            <w:r/>
            <w:r>
              <w:rPr>
                <w:rFonts w:ascii="Liberation Sans" w:hAnsi="Liberation Sans"/>
                <w:sz w:val="17"/>
              </w:rPr>
              <w:t>Services</w:t>
            </w:r>
          </w:p>
        </w:tc>
        <w:tc>
          <w:tcPr>
            <w:tcW w:type="dxa" w:w="7560"/>
            <w:tcMar>
              <w:top w:w="80" w:type="dxa"/>
              <w:start w:w="100" w:type="dxa"/>
              <w:bottom w:w="80" w:type="dxa"/>
              <w:end w:w="100" w:type="dxa"/>
            </w:tcMar>
            <w:vAlign w:val="center"/>
          </w:tcPr>
          <w:p>
            <w:r/>
            <w:r>
              <w:rPr>
                <w:rFonts w:ascii="Liberation Sans" w:hAnsi="Liberation Sans"/>
                <w:sz w:val="17"/>
              </w:rPr>
              <w:t>Automatically started Windows services and binary paths</w:t>
            </w:r>
          </w:p>
        </w:tc>
      </w:tr>
      <w:tr>
        <w:tc>
          <w:tcPr>
            <w:tcW w:type="dxa" w:w="2376"/>
            <w:shd w:fill="F3F6F8"/>
            <w:tcMar>
              <w:top w:w="80" w:type="dxa"/>
              <w:start w:w="100" w:type="dxa"/>
              <w:bottom w:w="80" w:type="dxa"/>
              <w:end w:w="100" w:type="dxa"/>
            </w:tcMar>
            <w:vAlign w:val="center"/>
          </w:tcPr>
          <w:p>
            <w:r/>
            <w:r>
              <w:rPr>
                <w:rFonts w:ascii="Liberation Sans" w:hAnsi="Liberation Sans"/>
                <w:sz w:val="17"/>
              </w:rPr>
              <w:t>Scheduled Tasks</w:t>
            </w:r>
          </w:p>
        </w:tc>
        <w:tc>
          <w:tcPr>
            <w:tcW w:type="dxa" w:w="7560"/>
            <w:shd w:fill="F3F6F8"/>
            <w:tcMar>
              <w:top w:w="80" w:type="dxa"/>
              <w:start w:w="100" w:type="dxa"/>
              <w:bottom w:w="80" w:type="dxa"/>
              <w:end w:w="100" w:type="dxa"/>
            </w:tcMar>
            <w:vAlign w:val="center"/>
          </w:tcPr>
          <w:p>
            <w:r/>
            <w:r>
              <w:rPr>
                <w:rFonts w:ascii="Liberation Sans" w:hAnsi="Liberation Sans"/>
                <w:sz w:val="17"/>
              </w:rPr>
              <w:t>Enabled tasks and their executable/action strings</w:t>
            </w:r>
          </w:p>
        </w:tc>
      </w:tr>
      <w:tr>
        <w:tc>
          <w:tcPr>
            <w:tcW w:type="dxa" w:w="2376"/>
            <w:tcMar>
              <w:top w:w="80" w:type="dxa"/>
              <w:start w:w="100" w:type="dxa"/>
              <w:bottom w:w="80" w:type="dxa"/>
              <w:end w:w="100" w:type="dxa"/>
            </w:tcMar>
            <w:vAlign w:val="center"/>
          </w:tcPr>
          <w:p>
            <w:r/>
            <w:r>
              <w:rPr>
                <w:rFonts w:ascii="Liberation Sans" w:hAnsi="Liberation Sans"/>
                <w:sz w:val="17"/>
              </w:rPr>
              <w:t>Winlogon</w:t>
            </w:r>
          </w:p>
        </w:tc>
        <w:tc>
          <w:tcPr>
            <w:tcW w:type="dxa" w:w="7560"/>
            <w:tcMar>
              <w:top w:w="80" w:type="dxa"/>
              <w:start w:w="100" w:type="dxa"/>
              <w:bottom w:w="80" w:type="dxa"/>
              <w:end w:w="100" w:type="dxa"/>
            </w:tcMar>
            <w:vAlign w:val="center"/>
          </w:tcPr>
          <w:p>
            <w:r/>
            <w:r>
              <w:rPr>
                <w:rFonts w:ascii="Liberation Sans" w:hAnsi="Liberation Sans"/>
                <w:sz w:val="17"/>
              </w:rPr>
              <w:t>Shell and Userinit values under HKLM/HKCU Winlogon</w:t>
            </w:r>
          </w:p>
        </w:tc>
      </w:tr>
      <w:tr>
        <w:tc>
          <w:tcPr>
            <w:tcW w:type="dxa" w:w="2376"/>
            <w:shd w:fill="F3F6F8"/>
            <w:tcMar>
              <w:top w:w="80" w:type="dxa"/>
              <w:start w:w="100" w:type="dxa"/>
              <w:bottom w:w="80" w:type="dxa"/>
              <w:end w:w="100" w:type="dxa"/>
            </w:tcMar>
            <w:vAlign w:val="center"/>
          </w:tcPr>
          <w:p>
            <w:r/>
            <w:r>
              <w:rPr>
                <w:rFonts w:ascii="Liberation Sans" w:hAnsi="Liberation Sans"/>
                <w:sz w:val="17"/>
              </w:rPr>
              <w:t>AppInit DLLs</w:t>
            </w:r>
          </w:p>
        </w:tc>
        <w:tc>
          <w:tcPr>
            <w:tcW w:type="dxa" w:w="7560"/>
            <w:shd w:fill="F3F6F8"/>
            <w:tcMar>
              <w:top w:w="80" w:type="dxa"/>
              <w:start w:w="100" w:type="dxa"/>
              <w:bottom w:w="80" w:type="dxa"/>
              <w:end w:w="100" w:type="dxa"/>
            </w:tcMar>
            <w:vAlign w:val="center"/>
          </w:tcPr>
          <w:p>
            <w:r/>
            <w:r>
              <w:rPr>
                <w:rFonts w:ascii="Liberation Sans" w:hAnsi="Liberation Sans"/>
                <w:sz w:val="17"/>
              </w:rPr>
              <w:t>LoadAppInit_DLLs and AppInit_DLLs values</w:t>
            </w:r>
          </w:p>
        </w:tc>
      </w:tr>
      <w:tr>
        <w:tc>
          <w:tcPr>
            <w:tcW w:type="dxa" w:w="2376"/>
            <w:tcMar>
              <w:top w:w="80" w:type="dxa"/>
              <w:start w:w="100" w:type="dxa"/>
              <w:bottom w:w="80" w:type="dxa"/>
              <w:end w:w="100" w:type="dxa"/>
            </w:tcMar>
            <w:vAlign w:val="center"/>
          </w:tcPr>
          <w:p>
            <w:r/>
            <w:r>
              <w:rPr>
                <w:rFonts w:ascii="Liberation Sans" w:hAnsi="Liberation Sans"/>
                <w:sz w:val="17"/>
              </w:rPr>
              <w:t>IFEO image hijacks</w:t>
            </w:r>
          </w:p>
        </w:tc>
        <w:tc>
          <w:tcPr>
            <w:tcW w:type="dxa" w:w="7560"/>
            <w:tcMar>
              <w:top w:w="80" w:type="dxa"/>
              <w:start w:w="100" w:type="dxa"/>
              <w:bottom w:w="80" w:type="dxa"/>
              <w:end w:w="100" w:type="dxa"/>
            </w:tcMar>
            <w:vAlign w:val="center"/>
          </w:tcPr>
          <w:p>
            <w:r/>
            <w:r>
              <w:rPr>
                <w:rFonts w:ascii="Liberation Sans" w:hAnsi="Liberation Sans"/>
                <w:sz w:val="17"/>
              </w:rPr>
              <w:t>Image File Execution Options entries with a Debugger value</w:t>
            </w:r>
          </w:p>
        </w:tc>
      </w:tr>
    </w:tbl>
    <w:p>
      <w:pPr>
        <w:spacing w:after="40"/>
      </w:pPr>
    </w:p>
    <w:p>
      <w:pPr>
        <w:spacing w:after="120" w:line="259" w:lineRule="auto"/>
      </w:pPr>
      <w:r>
        <w:rPr>
          <w:rFonts w:ascii="Liberation Sans" w:hAnsi="Liberation Sans"/>
          <w:sz w:val="20"/>
        </w:rPr>
        <w:t>The Windows registry collectors inspect both WOW64 views where relevant and de-duplicate equivalent findings. This matters because a 32-bit persistence entry can exist independently of the corresponding 64-bit location.</w:t>
      </w:r>
    </w:p>
    <w:p>
      <w:pPr>
        <w:pStyle w:val="Heading1"/>
      </w:pPr>
      <w:r>
        <w:rPr>
          <w:rFonts w:ascii="Liberation Sans" w:hAnsi="Liberation Sans"/>
          <w:b/>
          <w:color w:val="193755"/>
          <w:sz w:val="32"/>
        </w:rPr>
        <w:t>5. Correlation: how raw evidence becomes a Target</w:t>
      </w:r>
    </w:p>
    <w:p>
      <w:pPr>
        <w:spacing w:after="120" w:line="259" w:lineRule="auto"/>
      </w:pPr>
      <w:r>
        <w:rPr>
          <w:rFonts w:ascii="Liberation Sans" w:hAnsi="Liberation Sans"/>
          <w:sz w:val="20"/>
        </w:rPr>
        <w:t>Correlate() evaluates every running process against the collected persistence and network data. It assigns evidence-based scores rather than flagging a process because of one common behavior such as starting automatically or accessing the Internet.</w:t>
      </w:r>
    </w:p>
    <w:p>
      <w:pPr>
        <w:pStyle w:val="Heading2"/>
      </w:pPr>
      <w:r>
        <w:rPr>
          <w:rFonts w:ascii="Liberation Sans" w:hAnsi="Liberation Sans"/>
          <w:b/>
          <w:color w:val="193755"/>
          <w:sz w:val="26"/>
        </w:rPr>
        <w:t>Shared correlation steps</w:t>
      </w:r>
    </w:p>
    <w:p>
      <w:pPr>
        <w:pStyle w:val="ListNumber"/>
      </w:pPr>
      <w:r>
        <w:rPr>
          <w:rFonts w:ascii="Liberation Sans" w:hAnsi="Liberation Sans"/>
          <w:sz w:val="20"/>
        </w:rPr>
        <w:t>Collect the target process's direct network connections.</w:t>
      </w:r>
    </w:p>
    <w:p>
      <w:pPr>
        <w:pStyle w:val="ListNumber"/>
      </w:pPr>
      <w:r>
        <w:rPr>
          <w:rFonts w:ascii="Liberation Sans" w:hAnsi="Liberation Sans"/>
          <w:sz w:val="20"/>
        </w:rPr>
        <w:t>Walk the PPID tree recursively to find all descendant processes.</w:t>
      </w:r>
    </w:p>
    <w:p>
      <w:pPr>
        <w:pStyle w:val="ListNumber"/>
      </w:pPr>
      <w:r>
        <w:rPr>
          <w:rFonts w:ascii="Liberation Sans" w:hAnsi="Liberation Sans"/>
          <w:sz w:val="20"/>
        </w:rPr>
        <w:t>Collect connections owned by those descendants and associate them with the same candidate target.</w:t>
      </w:r>
    </w:p>
    <w:p>
      <w:pPr>
        <w:pStyle w:val="ListNumber"/>
      </w:pPr>
      <w:r>
        <w:rPr>
          <w:rFonts w:ascii="Liberation Sans" w:hAnsi="Liberation Sans"/>
          <w:sz w:val="20"/>
        </w:rPr>
        <w:t>Match persistence entries to the process executable path or executable token/name.</w:t>
      </w:r>
    </w:p>
    <w:p>
      <w:pPr>
        <w:pStyle w:val="ListNumber"/>
      </w:pPr>
      <w:r>
        <w:rPr>
          <w:rFonts w:ascii="Liberation Sans" w:hAnsi="Liberation Sans"/>
          <w:sz w:val="20"/>
        </w:rPr>
        <w:t>Apply platform-specific suspicious-path and masquerading checks.</w:t>
      </w:r>
    </w:p>
    <w:p>
      <w:pPr>
        <w:pStyle w:val="ListNumber"/>
      </w:pPr>
      <w:r>
        <w:rPr>
          <w:rFonts w:ascii="Liberation Sans" w:hAnsi="Liberation Sans"/>
          <w:sz w:val="20"/>
        </w:rPr>
        <w:t>Create a Target only when the total score reaches the target threshold.</w:t>
      </w:r>
    </w:p>
    <w:p>
      <w:pPr>
        <w:spacing w:after="120" w:line="259" w:lineRule="auto"/>
      </w:pPr>
      <w:r>
        <w:rPr>
          <w:rFonts w:ascii="Liberation Sans" w:hAnsi="Liberation Sans"/>
          <w:sz w:val="20"/>
        </w:rPr>
        <w:t>RelatedProcesses contains descendants only. A parent is not automatically treated as related because a legitimate parent process may have launched a malicious child. Process ancestry is context, not proof of malicious behavior.</w:t>
      </w:r>
    </w:p>
    <w:p>
      <w:pPr>
        <w:pStyle w:val="Heading1"/>
      </w:pPr>
      <w:r>
        <w:rPr>
          <w:rFonts w:ascii="Liberation Sans" w:hAnsi="Liberation Sans"/>
          <w:b/>
          <w:color w:val="193755"/>
          <w:sz w:val="32"/>
        </w:rPr>
        <w:t>6. Scoring model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232"/>
            <w:shd w:fill="244A67"/>
            <w:tcMar>
              <w:top w:w="80" w:type="dxa"/>
              <w:start w:w="100" w:type="dxa"/>
              <w:bottom w:w="80" w:type="dxa"/>
              <w:end w:w="100" w:type="dxa"/>
            </w:tcMar>
            <w:vAlign w:val="center"/>
          </w:tcPr>
          <w:p>
            <w:r/>
            <w:r>
              <w:rPr>
                <w:rFonts w:ascii="Liberation Sans" w:hAnsi="Liberation Sans"/>
                <w:b/>
                <w:color w:val="FFFFFF"/>
                <w:sz w:val="18"/>
              </w:rPr>
              <w:t>Signal</w:t>
            </w:r>
          </w:p>
        </w:tc>
        <w:tc>
          <w:tcPr>
            <w:tcW w:type="dxa" w:w="1008"/>
            <w:shd w:fill="244A67"/>
            <w:tcMar>
              <w:top w:w="80" w:type="dxa"/>
              <w:start w:w="100" w:type="dxa"/>
              <w:bottom w:w="80" w:type="dxa"/>
              <w:end w:w="100" w:type="dxa"/>
            </w:tcMar>
            <w:vAlign w:val="center"/>
          </w:tcPr>
          <w:p>
            <w:r/>
            <w:r>
              <w:rPr>
                <w:rFonts w:ascii="Liberation Sans" w:hAnsi="Liberation Sans"/>
                <w:b/>
                <w:color w:val="FFFFFF"/>
                <w:sz w:val="18"/>
              </w:rPr>
              <w:t>Windows</w:t>
            </w:r>
          </w:p>
        </w:tc>
        <w:tc>
          <w:tcPr>
            <w:tcW w:type="dxa" w:w="1008"/>
            <w:shd w:fill="244A67"/>
            <w:tcMar>
              <w:top w:w="80" w:type="dxa"/>
              <w:start w:w="100" w:type="dxa"/>
              <w:bottom w:w="80" w:type="dxa"/>
              <w:end w:w="100" w:type="dxa"/>
            </w:tcMar>
            <w:vAlign w:val="center"/>
          </w:tcPr>
          <w:p>
            <w:r/>
            <w:r>
              <w:rPr>
                <w:rFonts w:ascii="Liberation Sans" w:hAnsi="Liberation Sans"/>
                <w:b/>
                <w:color w:val="FFFFFF"/>
                <w:sz w:val="18"/>
              </w:rPr>
              <w:t>Linux</w:t>
            </w:r>
          </w:p>
        </w:tc>
        <w:tc>
          <w:tcPr>
            <w:tcW w:type="dxa" w:w="5760"/>
            <w:shd w:fill="244A67"/>
            <w:tcMar>
              <w:top w:w="80" w:type="dxa"/>
              <w:start w:w="100" w:type="dxa"/>
              <w:bottom w:w="80" w:type="dxa"/>
              <w:end w:w="100" w:type="dxa"/>
            </w:tcMar>
            <w:vAlign w:val="center"/>
          </w:tcPr>
          <w:p>
            <w:r/>
            <w:r>
              <w:rPr>
                <w:rFonts w:ascii="Liberation Sans" w:hAnsi="Liberation Sans"/>
                <w:b/>
                <w:color w:val="FFFFFF"/>
                <w:sz w:val="18"/>
              </w:rPr>
              <w:t>Reasoning</w:t>
            </w:r>
          </w:p>
        </w:tc>
      </w:tr>
      <w:tr>
        <w:tc>
          <w:tcPr>
            <w:tcW w:type="dxa" w:w="2232"/>
            <w:tcMar>
              <w:top w:w="80" w:type="dxa"/>
              <w:start w:w="100" w:type="dxa"/>
              <w:bottom w:w="80" w:type="dxa"/>
              <w:end w:w="100" w:type="dxa"/>
            </w:tcMar>
            <w:vAlign w:val="center"/>
          </w:tcPr>
          <w:p>
            <w:r/>
            <w:r>
              <w:rPr>
                <w:rFonts w:ascii="Liberation Sans" w:hAnsi="Liberation Sans"/>
                <w:sz w:val="17"/>
              </w:rPr>
              <w:t>Persistence match</w:t>
            </w:r>
          </w:p>
        </w:tc>
        <w:tc>
          <w:tcPr>
            <w:tcW w:type="dxa" w:w="1008"/>
            <w:tcMar>
              <w:top w:w="80" w:type="dxa"/>
              <w:start w:w="100" w:type="dxa"/>
              <w:bottom w:w="80" w:type="dxa"/>
              <w:end w:w="100" w:type="dxa"/>
            </w:tcMar>
            <w:vAlign w:val="center"/>
          </w:tcPr>
          <w:p>
            <w:r/>
            <w:r>
              <w:rPr>
                <w:rFonts w:ascii="Liberation Sans" w:hAnsi="Liberation Sans"/>
                <w:sz w:val="17"/>
              </w:rPr>
              <w:t>+2</w:t>
            </w:r>
          </w:p>
        </w:tc>
        <w:tc>
          <w:tcPr>
            <w:tcW w:type="dxa" w:w="1008"/>
            <w:tcMar>
              <w:top w:w="80" w:type="dxa"/>
              <w:start w:w="100" w:type="dxa"/>
              <w:bottom w:w="80" w:type="dxa"/>
              <w:end w:w="100" w:type="dxa"/>
            </w:tcMar>
            <w:vAlign w:val="center"/>
          </w:tcPr>
          <w:p>
            <w:r/>
            <w:r>
              <w:rPr>
                <w:rFonts w:ascii="Liberation Sans" w:hAnsi="Liberation Sans"/>
                <w:sz w:val="17"/>
              </w:rPr>
              <w:t>+2</w:t>
            </w:r>
          </w:p>
        </w:tc>
        <w:tc>
          <w:tcPr>
            <w:tcW w:type="dxa" w:w="5760"/>
            <w:tcMar>
              <w:top w:w="80" w:type="dxa"/>
              <w:start w:w="100" w:type="dxa"/>
              <w:bottom w:w="80" w:type="dxa"/>
              <w:end w:w="100" w:type="dxa"/>
            </w:tcMar>
            <w:vAlign w:val="center"/>
          </w:tcPr>
          <w:p>
            <w:r/>
            <w:r>
              <w:rPr>
                <w:rFonts w:ascii="Liberation Sans" w:hAnsi="Liberation Sans"/>
                <w:sz w:val="17"/>
              </w:rPr>
              <w:t>Useful correlation evidence, but common on clean systems</w:t>
            </w:r>
          </w:p>
        </w:tc>
      </w:tr>
      <w:tr>
        <w:tc>
          <w:tcPr>
            <w:tcW w:type="dxa" w:w="2232"/>
            <w:shd w:fill="F3F6F8"/>
            <w:tcMar>
              <w:top w:w="80" w:type="dxa"/>
              <w:start w:w="100" w:type="dxa"/>
              <w:bottom w:w="80" w:type="dxa"/>
              <w:end w:w="100" w:type="dxa"/>
            </w:tcMar>
            <w:vAlign w:val="center"/>
          </w:tcPr>
          <w:p>
            <w:r/>
            <w:r>
              <w:rPr>
                <w:rFonts w:ascii="Liberation Sans" w:hAnsi="Liberation Sans"/>
                <w:sz w:val="17"/>
              </w:rPr>
              <w:t>Public network connection</w:t>
            </w:r>
          </w:p>
        </w:tc>
        <w:tc>
          <w:tcPr>
            <w:tcW w:type="dxa" w:w="1008"/>
            <w:shd w:fill="F3F6F8"/>
            <w:tcMar>
              <w:top w:w="80" w:type="dxa"/>
              <w:start w:w="100" w:type="dxa"/>
              <w:bottom w:w="80" w:type="dxa"/>
              <w:end w:w="100" w:type="dxa"/>
            </w:tcMar>
            <w:vAlign w:val="center"/>
          </w:tcPr>
          <w:p>
            <w:r/>
            <w:r>
              <w:rPr>
                <w:rFonts w:ascii="Liberation Sans" w:hAnsi="Liberation Sans"/>
                <w:sz w:val="17"/>
              </w:rPr>
              <w:t>+1</w:t>
            </w:r>
          </w:p>
        </w:tc>
        <w:tc>
          <w:tcPr>
            <w:tcW w:type="dxa" w:w="1008"/>
            <w:shd w:fill="F3F6F8"/>
            <w:tcMar>
              <w:top w:w="80" w:type="dxa"/>
              <w:start w:w="100" w:type="dxa"/>
              <w:bottom w:w="80" w:type="dxa"/>
              <w:end w:w="100" w:type="dxa"/>
            </w:tcMar>
            <w:vAlign w:val="center"/>
          </w:tcPr>
          <w:p>
            <w:r/>
            <w:r>
              <w:rPr>
                <w:rFonts w:ascii="Liberation Sans" w:hAnsi="Liberation Sans"/>
                <w:sz w:val="17"/>
              </w:rPr>
              <w:t>+1</w:t>
            </w:r>
          </w:p>
        </w:tc>
        <w:tc>
          <w:tcPr>
            <w:tcW w:type="dxa" w:w="5760"/>
            <w:shd w:fill="F3F6F8"/>
            <w:tcMar>
              <w:top w:w="80" w:type="dxa"/>
              <w:start w:w="100" w:type="dxa"/>
              <w:bottom w:w="80" w:type="dxa"/>
              <w:end w:w="100" w:type="dxa"/>
            </w:tcMar>
            <w:vAlign w:val="center"/>
          </w:tcPr>
          <w:p>
            <w:r/>
            <w:r>
              <w:rPr>
                <w:rFonts w:ascii="Liberation Sans" w:hAnsi="Liberation Sans"/>
                <w:sz w:val="17"/>
              </w:rPr>
              <w:t>Common behavior; weak evidence alone</w:t>
            </w:r>
          </w:p>
        </w:tc>
      </w:tr>
      <w:tr>
        <w:tc>
          <w:tcPr>
            <w:tcW w:type="dxa" w:w="2232"/>
            <w:tcMar>
              <w:top w:w="80" w:type="dxa"/>
              <w:start w:w="100" w:type="dxa"/>
              <w:bottom w:w="80" w:type="dxa"/>
              <w:end w:w="100" w:type="dxa"/>
            </w:tcMar>
            <w:vAlign w:val="center"/>
          </w:tcPr>
          <w:p>
            <w:r/>
            <w:r>
              <w:rPr>
                <w:rFonts w:ascii="Liberation Sans" w:hAnsi="Liberation Sans"/>
                <w:sz w:val="17"/>
              </w:rPr>
              <w:t>Suspicious writable path</w:t>
            </w:r>
          </w:p>
        </w:tc>
        <w:tc>
          <w:tcPr>
            <w:tcW w:type="dxa" w:w="1008"/>
            <w:tcMar>
              <w:top w:w="80" w:type="dxa"/>
              <w:start w:w="100" w:type="dxa"/>
              <w:bottom w:w="80" w:type="dxa"/>
              <w:end w:w="100" w:type="dxa"/>
            </w:tcMar>
            <w:vAlign w:val="center"/>
          </w:tcPr>
          <w:p>
            <w:r/>
            <w:r>
              <w:rPr>
                <w:rFonts w:ascii="Liberation Sans" w:hAnsi="Liberation Sans"/>
                <w:sz w:val="17"/>
              </w:rPr>
              <w:t>+3</w:t>
            </w:r>
          </w:p>
        </w:tc>
        <w:tc>
          <w:tcPr>
            <w:tcW w:type="dxa" w:w="1008"/>
            <w:tcMar>
              <w:top w:w="80" w:type="dxa"/>
              <w:start w:w="100" w:type="dxa"/>
              <w:bottom w:w="80" w:type="dxa"/>
              <w:end w:w="100" w:type="dxa"/>
            </w:tcMar>
            <w:vAlign w:val="center"/>
          </w:tcPr>
          <w:p>
            <w:r/>
            <w:r>
              <w:rPr>
                <w:rFonts w:ascii="Liberation Sans" w:hAnsi="Liberation Sans"/>
                <w:sz w:val="17"/>
              </w:rPr>
              <w:t>+3</w:t>
            </w:r>
          </w:p>
        </w:tc>
        <w:tc>
          <w:tcPr>
            <w:tcW w:type="dxa" w:w="5760"/>
            <w:tcMar>
              <w:top w:w="80" w:type="dxa"/>
              <w:start w:w="100" w:type="dxa"/>
              <w:bottom w:w="80" w:type="dxa"/>
              <w:end w:w="100" w:type="dxa"/>
            </w:tcMar>
            <w:vAlign w:val="center"/>
          </w:tcPr>
          <w:p>
            <w:r/>
            <w:r>
              <w:rPr>
                <w:rFonts w:ascii="Liberation Sans" w:hAnsi="Liberation Sans"/>
                <w:sz w:val="17"/>
              </w:rPr>
              <w:t>Execution from locations commonly abused for temporary/user payloads</w:t>
            </w:r>
          </w:p>
        </w:tc>
      </w:tr>
      <w:tr>
        <w:tc>
          <w:tcPr>
            <w:tcW w:type="dxa" w:w="2232"/>
            <w:shd w:fill="F3F6F8"/>
            <w:tcMar>
              <w:top w:w="80" w:type="dxa"/>
              <w:start w:w="100" w:type="dxa"/>
              <w:bottom w:w="80" w:type="dxa"/>
              <w:end w:w="100" w:type="dxa"/>
            </w:tcMar>
            <w:vAlign w:val="center"/>
          </w:tcPr>
          <w:p>
            <w:r/>
            <w:r>
              <w:rPr>
                <w:rFonts w:ascii="Liberation Sans" w:hAnsi="Liberation Sans"/>
                <w:sz w:val="17"/>
              </w:rPr>
              <w:t>System-process masquerade</w:t>
            </w:r>
          </w:p>
        </w:tc>
        <w:tc>
          <w:tcPr>
            <w:tcW w:type="dxa" w:w="1008"/>
            <w:shd w:fill="F3F6F8"/>
            <w:tcMar>
              <w:top w:w="80" w:type="dxa"/>
              <w:start w:w="100" w:type="dxa"/>
              <w:bottom w:w="80" w:type="dxa"/>
              <w:end w:w="100" w:type="dxa"/>
            </w:tcMar>
            <w:vAlign w:val="center"/>
          </w:tcPr>
          <w:p>
            <w:r/>
            <w:r>
              <w:rPr>
                <w:rFonts w:ascii="Liberation Sans" w:hAnsi="Liberation Sans"/>
                <w:sz w:val="17"/>
              </w:rPr>
              <w:t>+4</w:t>
            </w:r>
          </w:p>
        </w:tc>
        <w:tc>
          <w:tcPr>
            <w:tcW w:type="dxa" w:w="1008"/>
            <w:shd w:fill="F3F6F8"/>
            <w:tcMar>
              <w:top w:w="80" w:type="dxa"/>
              <w:start w:w="100" w:type="dxa"/>
              <w:bottom w:w="80" w:type="dxa"/>
              <w:end w:w="100" w:type="dxa"/>
            </w:tcMar>
            <w:vAlign w:val="center"/>
          </w:tcPr>
          <w:p>
            <w:r/>
            <w:r>
              <w:rPr>
                <w:rFonts w:ascii="Liberation Sans" w:hAnsi="Liberation Sans"/>
                <w:sz w:val="17"/>
              </w:rPr>
              <w:t>+4</w:t>
            </w:r>
          </w:p>
        </w:tc>
        <w:tc>
          <w:tcPr>
            <w:tcW w:type="dxa" w:w="5760"/>
            <w:shd w:fill="F3F6F8"/>
            <w:tcMar>
              <w:top w:w="80" w:type="dxa"/>
              <w:start w:w="100" w:type="dxa"/>
              <w:bottom w:w="80" w:type="dxa"/>
              <w:end w:w="100" w:type="dxa"/>
            </w:tcMar>
            <w:vAlign w:val="center"/>
          </w:tcPr>
          <w:p>
            <w:r/>
            <w:r>
              <w:rPr>
                <w:rFonts w:ascii="Liberation Sans" w:hAnsi="Liberation Sans"/>
                <w:sz w:val="17"/>
              </w:rPr>
              <w:t>Strong mismatch between trusted-looking name and executable location</w:t>
            </w:r>
          </w:p>
        </w:tc>
      </w:tr>
      <w:tr>
        <w:tc>
          <w:tcPr>
            <w:tcW w:type="dxa" w:w="2232"/>
            <w:tcMar>
              <w:top w:w="80" w:type="dxa"/>
              <w:start w:w="100" w:type="dxa"/>
              <w:bottom w:w="80" w:type="dxa"/>
              <w:end w:w="100" w:type="dxa"/>
            </w:tcMar>
            <w:vAlign w:val="center"/>
          </w:tcPr>
          <w:p>
            <w:r/>
            <w:r>
              <w:rPr>
                <w:rFonts w:ascii="Liberation Sans" w:hAnsi="Liberation Sans"/>
                <w:sz w:val="17"/>
              </w:rPr>
              <w:t>Deleted executable</w:t>
            </w:r>
          </w:p>
        </w:tc>
        <w:tc>
          <w:tcPr>
            <w:tcW w:type="dxa" w:w="1008"/>
            <w:tcMar>
              <w:top w:w="80" w:type="dxa"/>
              <w:start w:w="100" w:type="dxa"/>
              <w:bottom w:w="80" w:type="dxa"/>
              <w:end w:w="100" w:type="dxa"/>
            </w:tcMar>
            <w:vAlign w:val="center"/>
          </w:tcPr>
          <w:p>
            <w:r/>
            <w:r>
              <w:rPr>
                <w:rFonts w:ascii="Liberation Sans" w:hAnsi="Liberation Sans"/>
                <w:sz w:val="17"/>
              </w:rPr>
              <w:t>-</w:t>
            </w:r>
          </w:p>
        </w:tc>
        <w:tc>
          <w:tcPr>
            <w:tcW w:type="dxa" w:w="1008"/>
            <w:tcMar>
              <w:top w:w="80" w:type="dxa"/>
              <w:start w:w="100" w:type="dxa"/>
              <w:bottom w:w="80" w:type="dxa"/>
              <w:end w:w="100" w:type="dxa"/>
            </w:tcMar>
            <w:vAlign w:val="center"/>
          </w:tcPr>
          <w:p>
            <w:r/>
            <w:r>
              <w:rPr>
                <w:rFonts w:ascii="Liberation Sans" w:hAnsi="Liberation Sans"/>
                <w:sz w:val="17"/>
              </w:rPr>
              <w:t>+4</w:t>
            </w:r>
          </w:p>
        </w:tc>
        <w:tc>
          <w:tcPr>
            <w:tcW w:type="dxa" w:w="5760"/>
            <w:tcMar>
              <w:top w:w="80" w:type="dxa"/>
              <w:start w:w="100" w:type="dxa"/>
              <w:bottom w:w="80" w:type="dxa"/>
              <w:end w:w="100" w:type="dxa"/>
            </w:tcMar>
            <w:vAlign w:val="center"/>
          </w:tcPr>
          <w:p>
            <w:r/>
            <w:r>
              <w:rPr>
                <w:rFonts w:ascii="Liberation Sans" w:hAnsi="Liberation Sans"/>
                <w:sz w:val="17"/>
              </w:rPr>
              <w:t>Linux-only: process continues after executable was removed from disk</w:t>
            </w:r>
          </w:p>
        </w:tc>
      </w:tr>
    </w:tbl>
    <w:p>
      <w:pPr>
        <w:spacing w:after="40"/>
      </w:pPr>
    </w:p>
    <w:p>
      <w:pPr>
        <w:spacing w:after="120" w:line="259" w:lineRule="auto"/>
      </w:pPr>
      <w:r>
        <w:rPr>
          <w:rFonts w:ascii="Liberation Sans" w:hAnsi="Liberation Sans"/>
          <w:sz w:val="20"/>
        </w:rPr>
        <w:t>A candidate becomes a Target at a score of 4 or greater. Confidence is then derived from the total score: 4 = low, 5-6 = medium, and 7 or greater = high.</w:t>
      </w:r>
    </w:p>
    <w:p>
      <w:pPr>
        <w:pStyle w:val="Heading2"/>
      </w:pPr>
      <w:r>
        <w:rPr>
          <w:rFonts w:ascii="Liberation Sans" w:hAnsi="Liberation Sans"/>
          <w:b/>
          <w:color w:val="193755"/>
          <w:sz w:val="26"/>
        </w:rPr>
        <w:t>Examples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5184"/>
            <w:shd w:fill="244A67"/>
            <w:tcMar>
              <w:top w:w="80" w:type="dxa"/>
              <w:start w:w="100" w:type="dxa"/>
              <w:bottom w:w="80" w:type="dxa"/>
              <w:end w:w="100" w:type="dxa"/>
            </w:tcMar>
            <w:vAlign w:val="center"/>
          </w:tcPr>
          <w:p>
            <w:r/>
            <w:r>
              <w:rPr>
                <w:rFonts w:ascii="Liberation Sans" w:hAnsi="Liberation Sans"/>
                <w:b/>
                <w:color w:val="FFFFFF"/>
                <w:sz w:val="18"/>
              </w:rPr>
              <w:t>Observed evidence</w:t>
            </w:r>
          </w:p>
        </w:tc>
        <w:tc>
          <w:tcPr>
            <w:tcW w:type="dxa" w:w="1152"/>
            <w:shd w:fill="244A67"/>
            <w:tcMar>
              <w:top w:w="80" w:type="dxa"/>
              <w:start w:w="100" w:type="dxa"/>
              <w:bottom w:w="80" w:type="dxa"/>
              <w:end w:w="100" w:type="dxa"/>
            </w:tcMar>
            <w:vAlign w:val="center"/>
          </w:tcPr>
          <w:p>
            <w:r/>
            <w:r>
              <w:rPr>
                <w:rFonts w:ascii="Liberation Sans" w:hAnsi="Liberation Sans"/>
                <w:b/>
                <w:color w:val="FFFFFF"/>
                <w:sz w:val="18"/>
              </w:rPr>
              <w:t>Score</w:t>
            </w:r>
          </w:p>
        </w:tc>
        <w:tc>
          <w:tcPr>
            <w:tcW w:type="dxa" w:w="3672"/>
            <w:shd w:fill="244A67"/>
            <w:tcMar>
              <w:top w:w="80" w:type="dxa"/>
              <w:start w:w="100" w:type="dxa"/>
              <w:bottom w:w="80" w:type="dxa"/>
              <w:end w:w="100" w:type="dxa"/>
            </w:tcMar>
            <w:vAlign w:val="center"/>
          </w:tcPr>
          <w:p>
            <w:r/>
            <w:r>
              <w:rPr>
                <w:rFonts w:ascii="Liberation Sans" w:hAnsi="Liberation Sans"/>
                <w:b/>
                <w:color w:val="FFFFFF"/>
                <w:sz w:val="18"/>
              </w:rPr>
              <w:t>Result</w:t>
            </w:r>
          </w:p>
        </w:tc>
      </w:tr>
      <w:tr>
        <w:tc>
          <w:tcPr>
            <w:tcW w:type="dxa" w:w="5184"/>
            <w:tcMar>
              <w:top w:w="80" w:type="dxa"/>
              <w:start w:w="100" w:type="dxa"/>
              <w:bottom w:w="80" w:type="dxa"/>
              <w:end w:w="100" w:type="dxa"/>
            </w:tcMar>
            <w:vAlign w:val="center"/>
          </w:tcPr>
          <w:p>
            <w:r/>
            <w:r>
              <w:rPr>
                <w:rFonts w:ascii="Liberation Sans" w:hAnsi="Liberation Sans"/>
                <w:sz w:val="17"/>
              </w:rPr>
              <w:t>Persistence only</w:t>
            </w:r>
          </w:p>
        </w:tc>
        <w:tc>
          <w:tcPr>
            <w:tcW w:type="dxa" w:w="1152"/>
            <w:tcMar>
              <w:top w:w="80" w:type="dxa"/>
              <w:start w:w="100" w:type="dxa"/>
              <w:bottom w:w="80" w:type="dxa"/>
              <w:end w:w="100" w:type="dxa"/>
            </w:tcMar>
            <w:vAlign w:val="center"/>
          </w:tcPr>
          <w:p>
            <w:r/>
            <w:r>
              <w:rPr>
                <w:rFonts w:ascii="Liberation Sans" w:hAnsi="Liberation Sans"/>
                <w:sz w:val="17"/>
              </w:rPr>
              <w:t>2</w:t>
            </w:r>
          </w:p>
        </w:tc>
        <w:tc>
          <w:tcPr>
            <w:tcW w:type="dxa" w:w="3672"/>
            <w:tcMar>
              <w:top w:w="80" w:type="dxa"/>
              <w:start w:w="100" w:type="dxa"/>
              <w:bottom w:w="80" w:type="dxa"/>
              <w:end w:w="100" w:type="dxa"/>
            </w:tcMar>
            <w:vAlign w:val="center"/>
          </w:tcPr>
          <w:p>
            <w:r/>
            <w:r>
              <w:rPr>
                <w:rFonts w:ascii="Liberation Sans" w:hAnsi="Liberation Sans"/>
                <w:sz w:val="17"/>
              </w:rPr>
              <w:t>Ignored</w:t>
            </w:r>
          </w:p>
        </w:tc>
      </w:tr>
      <w:tr>
        <w:tc>
          <w:tcPr>
            <w:tcW w:type="dxa" w:w="5184"/>
            <w:shd w:fill="F3F6F8"/>
            <w:tcMar>
              <w:top w:w="80" w:type="dxa"/>
              <w:start w:w="100" w:type="dxa"/>
              <w:bottom w:w="80" w:type="dxa"/>
              <w:end w:w="100" w:type="dxa"/>
            </w:tcMar>
            <w:vAlign w:val="center"/>
          </w:tcPr>
          <w:p>
            <w:r/>
            <w:r>
              <w:rPr>
                <w:rFonts w:ascii="Liberation Sans" w:hAnsi="Liberation Sans"/>
                <w:sz w:val="17"/>
              </w:rPr>
              <w:t>Persistence + public network</w:t>
            </w:r>
          </w:p>
        </w:tc>
        <w:tc>
          <w:tcPr>
            <w:tcW w:type="dxa" w:w="1152"/>
            <w:shd w:fill="F3F6F8"/>
            <w:tcMar>
              <w:top w:w="80" w:type="dxa"/>
              <w:start w:w="100" w:type="dxa"/>
              <w:bottom w:w="80" w:type="dxa"/>
              <w:end w:w="100" w:type="dxa"/>
            </w:tcMar>
            <w:vAlign w:val="center"/>
          </w:tcPr>
          <w:p>
            <w:r/>
            <w:r>
              <w:rPr>
                <w:rFonts w:ascii="Liberation Sans" w:hAnsi="Liberation Sans"/>
                <w:sz w:val="17"/>
              </w:rPr>
              <w:t>3</w:t>
            </w:r>
          </w:p>
        </w:tc>
        <w:tc>
          <w:tcPr>
            <w:tcW w:type="dxa" w:w="3672"/>
            <w:shd w:fill="F3F6F8"/>
            <w:tcMar>
              <w:top w:w="80" w:type="dxa"/>
              <w:start w:w="100" w:type="dxa"/>
              <w:bottom w:w="80" w:type="dxa"/>
              <w:end w:w="100" w:type="dxa"/>
            </w:tcMar>
            <w:vAlign w:val="center"/>
          </w:tcPr>
          <w:p>
            <w:r/>
            <w:r>
              <w:rPr>
                <w:rFonts w:ascii="Liberation Sans" w:hAnsi="Liberation Sans"/>
                <w:sz w:val="17"/>
              </w:rPr>
              <w:t>Ignored</w:t>
            </w:r>
          </w:p>
        </w:tc>
      </w:tr>
      <w:tr>
        <w:tc>
          <w:tcPr>
            <w:tcW w:type="dxa" w:w="5184"/>
            <w:tcMar>
              <w:top w:w="80" w:type="dxa"/>
              <w:start w:w="100" w:type="dxa"/>
              <w:bottom w:w="80" w:type="dxa"/>
              <w:end w:w="100" w:type="dxa"/>
            </w:tcMar>
            <w:vAlign w:val="center"/>
          </w:tcPr>
          <w:p>
            <w:r/>
            <w:r>
              <w:rPr>
                <w:rFonts w:ascii="Liberation Sans" w:hAnsi="Liberation Sans"/>
                <w:sz w:val="17"/>
              </w:rPr>
              <w:t>Suspicious path + public network</w:t>
            </w:r>
          </w:p>
        </w:tc>
        <w:tc>
          <w:tcPr>
            <w:tcW w:type="dxa" w:w="1152"/>
            <w:tcMar>
              <w:top w:w="80" w:type="dxa"/>
              <w:start w:w="100" w:type="dxa"/>
              <w:bottom w:w="80" w:type="dxa"/>
              <w:end w:w="100" w:type="dxa"/>
            </w:tcMar>
            <w:vAlign w:val="center"/>
          </w:tcPr>
          <w:p>
            <w:r/>
            <w:r>
              <w:rPr>
                <w:rFonts w:ascii="Liberation Sans" w:hAnsi="Liberation Sans"/>
                <w:sz w:val="17"/>
              </w:rPr>
              <w:t>4</w:t>
            </w:r>
          </w:p>
        </w:tc>
        <w:tc>
          <w:tcPr>
            <w:tcW w:type="dxa" w:w="3672"/>
            <w:tcMar>
              <w:top w:w="80" w:type="dxa"/>
              <w:start w:w="100" w:type="dxa"/>
              <w:bottom w:w="80" w:type="dxa"/>
              <w:end w:w="100" w:type="dxa"/>
            </w:tcMar>
            <w:vAlign w:val="center"/>
          </w:tcPr>
          <w:p>
            <w:r/>
            <w:r>
              <w:rPr>
                <w:rFonts w:ascii="Liberation Sans" w:hAnsi="Liberation Sans"/>
                <w:sz w:val="17"/>
              </w:rPr>
              <w:t>Low target</w:t>
            </w:r>
          </w:p>
        </w:tc>
      </w:tr>
      <w:tr>
        <w:tc>
          <w:tcPr>
            <w:tcW w:type="dxa" w:w="5184"/>
            <w:shd w:fill="F3F6F8"/>
            <w:tcMar>
              <w:top w:w="80" w:type="dxa"/>
              <w:start w:w="100" w:type="dxa"/>
              <w:bottom w:w="80" w:type="dxa"/>
              <w:end w:w="100" w:type="dxa"/>
            </w:tcMar>
            <w:vAlign w:val="center"/>
          </w:tcPr>
          <w:p>
            <w:r/>
            <w:r>
              <w:rPr>
                <w:rFonts w:ascii="Liberation Sans" w:hAnsi="Liberation Sans"/>
                <w:sz w:val="17"/>
              </w:rPr>
              <w:t>Suspicious path + persistence</w:t>
            </w:r>
          </w:p>
        </w:tc>
        <w:tc>
          <w:tcPr>
            <w:tcW w:type="dxa" w:w="1152"/>
            <w:shd w:fill="F3F6F8"/>
            <w:tcMar>
              <w:top w:w="80" w:type="dxa"/>
              <w:start w:w="100" w:type="dxa"/>
              <w:bottom w:w="80" w:type="dxa"/>
              <w:end w:w="100" w:type="dxa"/>
            </w:tcMar>
            <w:vAlign w:val="center"/>
          </w:tcPr>
          <w:p>
            <w:r/>
            <w:r>
              <w:rPr>
                <w:rFonts w:ascii="Liberation Sans" w:hAnsi="Liberation Sans"/>
                <w:sz w:val="17"/>
              </w:rPr>
              <w:t>5</w:t>
            </w:r>
          </w:p>
        </w:tc>
        <w:tc>
          <w:tcPr>
            <w:tcW w:type="dxa" w:w="3672"/>
            <w:shd w:fill="F3F6F8"/>
            <w:tcMar>
              <w:top w:w="80" w:type="dxa"/>
              <w:start w:w="100" w:type="dxa"/>
              <w:bottom w:w="80" w:type="dxa"/>
              <w:end w:w="100" w:type="dxa"/>
            </w:tcMar>
            <w:vAlign w:val="center"/>
          </w:tcPr>
          <w:p>
            <w:r/>
            <w:r>
              <w:rPr>
                <w:rFonts w:ascii="Liberation Sans" w:hAnsi="Liberation Sans"/>
                <w:sz w:val="17"/>
              </w:rPr>
              <w:t>Medium target</w:t>
            </w:r>
          </w:p>
        </w:tc>
      </w:tr>
      <w:tr>
        <w:tc>
          <w:tcPr>
            <w:tcW w:type="dxa" w:w="5184"/>
            <w:tcMar>
              <w:top w:w="80" w:type="dxa"/>
              <w:start w:w="100" w:type="dxa"/>
              <w:bottom w:w="80" w:type="dxa"/>
              <w:end w:w="100" w:type="dxa"/>
            </w:tcMar>
            <w:vAlign w:val="center"/>
          </w:tcPr>
          <w:p>
            <w:r/>
            <w:r>
              <w:rPr>
                <w:rFonts w:ascii="Liberation Sans" w:hAnsi="Liberation Sans"/>
                <w:sz w:val="17"/>
              </w:rPr>
              <w:t>Masquerading system process</w:t>
            </w:r>
          </w:p>
        </w:tc>
        <w:tc>
          <w:tcPr>
            <w:tcW w:type="dxa" w:w="1152"/>
            <w:tcMar>
              <w:top w:w="80" w:type="dxa"/>
              <w:start w:w="100" w:type="dxa"/>
              <w:bottom w:w="80" w:type="dxa"/>
              <w:end w:w="100" w:type="dxa"/>
            </w:tcMar>
            <w:vAlign w:val="center"/>
          </w:tcPr>
          <w:p>
            <w:r/>
            <w:r>
              <w:rPr>
                <w:rFonts w:ascii="Liberation Sans" w:hAnsi="Liberation Sans"/>
                <w:sz w:val="17"/>
              </w:rPr>
              <w:t>4</w:t>
            </w:r>
          </w:p>
        </w:tc>
        <w:tc>
          <w:tcPr>
            <w:tcW w:type="dxa" w:w="3672"/>
            <w:tcMar>
              <w:top w:w="80" w:type="dxa"/>
              <w:start w:w="100" w:type="dxa"/>
              <w:bottom w:w="80" w:type="dxa"/>
              <w:end w:w="100" w:type="dxa"/>
            </w:tcMar>
            <w:vAlign w:val="center"/>
          </w:tcPr>
          <w:p>
            <w:r/>
            <w:r>
              <w:rPr>
                <w:rFonts w:ascii="Liberation Sans" w:hAnsi="Liberation Sans"/>
                <w:sz w:val="17"/>
              </w:rPr>
              <w:t>Low target</w:t>
            </w:r>
          </w:p>
        </w:tc>
      </w:tr>
      <w:tr>
        <w:tc>
          <w:tcPr>
            <w:tcW w:type="dxa" w:w="5184"/>
            <w:shd w:fill="F3F6F8"/>
            <w:tcMar>
              <w:top w:w="80" w:type="dxa"/>
              <w:start w:w="100" w:type="dxa"/>
              <w:bottom w:w="80" w:type="dxa"/>
              <w:end w:w="100" w:type="dxa"/>
            </w:tcMar>
            <w:vAlign w:val="center"/>
          </w:tcPr>
          <w:p>
            <w:r/>
            <w:r>
              <w:rPr>
                <w:rFonts w:ascii="Liberation Sans" w:hAnsi="Liberation Sans"/>
                <w:sz w:val="17"/>
              </w:rPr>
              <w:t>Masquerade + persistence + network</w:t>
            </w:r>
          </w:p>
        </w:tc>
        <w:tc>
          <w:tcPr>
            <w:tcW w:type="dxa" w:w="1152"/>
            <w:shd w:fill="F3F6F8"/>
            <w:tcMar>
              <w:top w:w="80" w:type="dxa"/>
              <w:start w:w="100" w:type="dxa"/>
              <w:bottom w:w="80" w:type="dxa"/>
              <w:end w:w="100" w:type="dxa"/>
            </w:tcMar>
            <w:vAlign w:val="center"/>
          </w:tcPr>
          <w:p>
            <w:r/>
            <w:r>
              <w:rPr>
                <w:rFonts w:ascii="Liberation Sans" w:hAnsi="Liberation Sans"/>
                <w:sz w:val="17"/>
              </w:rPr>
              <w:t>7</w:t>
            </w:r>
          </w:p>
        </w:tc>
        <w:tc>
          <w:tcPr>
            <w:tcW w:type="dxa" w:w="3672"/>
            <w:shd w:fill="F3F6F8"/>
            <w:tcMar>
              <w:top w:w="80" w:type="dxa"/>
              <w:start w:w="100" w:type="dxa"/>
              <w:bottom w:w="80" w:type="dxa"/>
              <w:end w:w="100" w:type="dxa"/>
            </w:tcMar>
            <w:vAlign w:val="center"/>
          </w:tcPr>
          <w:p>
            <w:r/>
            <w:r>
              <w:rPr>
                <w:rFonts w:ascii="Liberation Sans" w:hAnsi="Liberation Sans"/>
                <w:sz w:val="17"/>
              </w:rPr>
              <w:t>High target</w:t>
            </w:r>
          </w:p>
        </w:tc>
      </w:tr>
    </w:tbl>
    <w:p>
      <w:pPr>
        <w:spacing w:after="40"/>
      </w:pPr>
    </w:p>
    <w:p>
      <w:pPr>
        <w:pStyle w:val="Heading1"/>
      </w:pPr>
      <w:r>
        <w:rPr>
          <w:rFonts w:ascii="Liberation Sans" w:hAnsi="Liberation Sans"/>
          <w:b/>
          <w:color w:val="193755"/>
          <w:sz w:val="32"/>
        </w:rPr>
        <w:t>7. Platform-specific suspicious indicators</w:t>
      </w:r>
    </w:p>
    <w:p>
      <w:pPr>
        <w:pStyle w:val="Heading2"/>
      </w:pPr>
      <w:r>
        <w:rPr>
          <w:rFonts w:ascii="Liberation Sans" w:hAnsi="Liberation Sans"/>
          <w:b/>
          <w:color w:val="193755"/>
          <w:sz w:val="26"/>
        </w:rPr>
        <w:t>Windows suspicious paths</w:t>
      </w:r>
    </w:p>
    <w:p>
      <w:pPr>
        <w:spacing w:after="120" w:line="259" w:lineRule="auto"/>
      </w:pPr>
      <w:r>
        <w:rPr>
          <w:rFonts w:ascii="Liberation Sans" w:hAnsi="Liberation Sans"/>
          <w:sz w:val="20"/>
        </w:rPr>
        <w:t>The current Windows correlator treats execution from the following writable or commonly abused locations as suspicious evidence:</w:t>
      </w:r>
    </w:p>
    <w:p>
      <w:pPr>
        <w:pStyle w:val="ListBullet"/>
      </w:pPr>
      <w:r>
        <w:rPr>
          <w:rFonts w:ascii="Liberation Sans" w:hAnsi="Liberation Sans"/>
          <w:sz w:val="20"/>
        </w:rPr>
        <w:t>AppData\\Local\\Temp</w:t>
      </w:r>
    </w:p>
    <w:p>
      <w:pPr>
        <w:pStyle w:val="ListBullet"/>
      </w:pPr>
      <w:r>
        <w:rPr>
          <w:rFonts w:ascii="Liberation Sans" w:hAnsi="Liberation Sans"/>
          <w:sz w:val="20"/>
        </w:rPr>
        <w:t>AppData\\Roaming</w:t>
      </w:r>
    </w:p>
    <w:p>
      <w:pPr>
        <w:pStyle w:val="ListBullet"/>
      </w:pPr>
      <w:r>
        <w:rPr>
          <w:rFonts w:ascii="Liberation Sans" w:hAnsi="Liberation Sans"/>
          <w:sz w:val="20"/>
        </w:rPr>
        <w:t>Windows\\Temp</w:t>
      </w:r>
    </w:p>
    <w:p>
      <w:pPr>
        <w:pStyle w:val="ListBullet"/>
      </w:pPr>
      <w:r>
        <w:rPr>
          <w:rFonts w:ascii="Liberation Sans" w:hAnsi="Liberation Sans"/>
          <w:sz w:val="20"/>
        </w:rPr>
        <w:t>Downloads</w:t>
      </w:r>
    </w:p>
    <w:p>
      <w:pPr>
        <w:pStyle w:val="ListBullet"/>
      </w:pPr>
      <w:r>
        <w:rPr>
          <w:rFonts w:ascii="Liberation Sans" w:hAnsi="Liberation Sans"/>
          <w:sz w:val="20"/>
        </w:rPr>
        <w:t>Start Menu\\Programs\\Startup</w:t>
      </w:r>
    </w:p>
    <w:p>
      <w:pPr>
        <w:pStyle w:val="ListBullet"/>
      </w:pPr>
      <w:r>
        <w:rPr>
          <w:rFonts w:ascii="Liberation Sans" w:hAnsi="Liberation Sans"/>
          <w:sz w:val="20"/>
        </w:rPr>
        <w:t>Users\\Public</w:t>
      </w:r>
    </w:p>
    <w:p>
      <w:pPr>
        <w:pStyle w:val="Heading2"/>
      </w:pPr>
      <w:r>
        <w:rPr>
          <w:rFonts w:ascii="Liberation Sans" w:hAnsi="Liberation Sans"/>
          <w:b/>
          <w:color w:val="193755"/>
          <w:sz w:val="26"/>
        </w:rPr>
        <w:t>Windows masquerading</w:t>
      </w:r>
    </w:p>
    <w:p>
      <w:pPr>
        <w:spacing w:after="120" w:line="259" w:lineRule="auto"/>
      </w:pPr>
      <w:r>
        <w:rPr>
          <w:rFonts w:ascii="Liberation Sans" w:hAnsi="Liberation Sans"/>
          <w:sz w:val="20"/>
        </w:rPr>
        <w:t>Defuse checks trusted-looking process names such as svchost.exe, lsass.exe, csrss.exe, winlogon.exe, services.exe, smss.exe, and explorer.exe. A matching name executing from outside the expected Windows hierarchy is treated as strong evidence.</w:t>
      </w:r>
    </w:p>
    <w:p>
      <w:pPr>
        <w:pStyle w:val="Heading2"/>
      </w:pPr>
      <w:r>
        <w:rPr>
          <w:rFonts w:ascii="Liberation Sans" w:hAnsi="Liberation Sans"/>
          <w:b/>
          <w:color w:val="193755"/>
          <w:sz w:val="26"/>
        </w:rPr>
        <w:t>Linux suspicious paths</w:t>
      </w:r>
    </w:p>
    <w:p>
      <w:pPr>
        <w:spacing w:after="120" w:line="259" w:lineRule="auto"/>
      </w:pPr>
      <w:r>
        <w:rPr>
          <w:rFonts w:ascii="Liberation Sans" w:hAnsi="Liberation Sans"/>
          <w:sz w:val="20"/>
        </w:rPr>
        <w:t>The current Linux correlator treats execution from /tmp, /var/tmp, /dev/shm, /run/user, and user cache paths as suspicious evidence.</w:t>
      </w:r>
    </w:p>
    <w:p>
      <w:pPr>
        <w:pStyle w:val="Heading2"/>
      </w:pPr>
      <w:r>
        <w:rPr>
          <w:rFonts w:ascii="Liberation Sans" w:hAnsi="Liberation Sans"/>
          <w:b/>
          <w:color w:val="193755"/>
          <w:sz w:val="26"/>
        </w:rPr>
        <w:t>Linux masquerading</w:t>
      </w:r>
    </w:p>
    <w:p>
      <w:pPr>
        <w:spacing w:after="120" w:line="259" w:lineRule="auto"/>
      </w:pPr>
      <w:r>
        <w:rPr>
          <w:rFonts w:ascii="Liberation Sans" w:hAnsi="Liberation Sans"/>
          <w:sz w:val="20"/>
        </w:rPr>
        <w:t>Defuse checks selected system-like names such as systemd, sshd, cron/crond, dbus-daemon, and NetworkManager. If one of these names executes from outside expected system binary/library locations, it contributes strong masquerading evidence.</w:t>
      </w:r>
    </w:p>
    <w:p>
      <w:pPr>
        <w:pStyle w:val="Heading1"/>
      </w:pPr>
      <w:r>
        <w:rPr>
          <w:rFonts w:ascii="Liberation Sans" w:hAnsi="Liberation Sans"/>
          <w:b/>
          <w:color w:val="193755"/>
          <w:sz w:val="32"/>
        </w:rPr>
        <w:t>8. What a Target contains</w:t>
      </w:r>
    </w:p>
    <w:p>
      <w:pPr>
        <w:spacing w:after="120" w:line="259" w:lineRule="auto"/>
      </w:pPr>
      <w:r>
        <w:rPr>
          <w:rFonts w:ascii="Liberation Sans" w:hAnsi="Liberation Sans"/>
          <w:sz w:val="20"/>
        </w:rPr>
        <w:t>When a process reaches the target threshold, Inspect stores a knowledge.Target containing the evidence required by the next phase. The target is a structured record, not only a PID.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244A67"/>
            <w:tcMar>
              <w:top w:w="80" w:type="dxa"/>
              <w:start w:w="100" w:type="dxa"/>
              <w:bottom w:w="80" w:type="dxa"/>
              <w:end w:w="100" w:type="dxa"/>
            </w:tcMar>
            <w:vAlign w:val="center"/>
          </w:tcPr>
          <w:p>
            <w:r/>
            <w:r>
              <w:rPr>
                <w:rFonts w:ascii="Liberation Sans" w:hAnsi="Liberation Sans"/>
                <w:b/>
                <w:color w:val="FFFFFF"/>
                <w:sz w:val="18"/>
              </w:rPr>
              <w:t>Target field</w:t>
            </w:r>
          </w:p>
        </w:tc>
        <w:tc>
          <w:tcPr>
            <w:tcW w:type="dxa" w:w="7560"/>
            <w:shd w:fill="244A67"/>
            <w:tcMar>
              <w:top w:w="80" w:type="dxa"/>
              <w:start w:w="100" w:type="dxa"/>
              <w:bottom w:w="80" w:type="dxa"/>
              <w:end w:w="100" w:type="dxa"/>
            </w:tcMar>
            <w:vAlign w:val="center"/>
          </w:tcPr>
          <w:p>
            <w:r/>
            <w:r>
              <w:rPr>
                <w:rFonts w:ascii="Liberation Sans" w:hAnsi="Liberation Sans"/>
                <w:b/>
                <w:color w:val="FFFFFF"/>
                <w:sz w:val="18"/>
              </w:rPr>
              <w:t>Purpose</w:t>
            </w:r>
          </w:p>
        </w:tc>
      </w:tr>
      <w:tr>
        <w:tc>
          <w:tcPr>
            <w:tcW w:type="dxa" w:w="2376"/>
            <w:tcMar>
              <w:top w:w="80" w:type="dxa"/>
              <w:start w:w="100" w:type="dxa"/>
              <w:bottom w:w="80" w:type="dxa"/>
              <w:end w:w="100" w:type="dxa"/>
            </w:tcMar>
            <w:vAlign w:val="center"/>
          </w:tcPr>
          <w:p>
            <w:r/>
            <w:r>
              <w:rPr>
                <w:rFonts w:ascii="Liberation Sans" w:hAnsi="Liberation Sans"/>
                <w:sz w:val="17"/>
              </w:rPr>
              <w:t>ID</w:t>
            </w:r>
          </w:p>
        </w:tc>
        <w:tc>
          <w:tcPr>
            <w:tcW w:type="dxa" w:w="7560"/>
            <w:tcMar>
              <w:top w:w="80" w:type="dxa"/>
              <w:start w:w="100" w:type="dxa"/>
              <w:bottom w:w="80" w:type="dxa"/>
              <w:end w:w="100" w:type="dxa"/>
            </w:tcMar>
            <w:vAlign w:val="center"/>
          </w:tcPr>
          <w:p>
            <w:r/>
            <w:r>
              <w:rPr>
                <w:rFonts w:ascii="Liberation Sans" w:hAnsi="Liberation Sans"/>
                <w:sz w:val="17"/>
              </w:rPr>
              <w:t>Stable selection identifier for the current Inspect result</w:t>
            </w:r>
          </w:p>
        </w:tc>
      </w:tr>
      <w:tr>
        <w:tc>
          <w:tcPr>
            <w:tcW w:type="dxa" w:w="2376"/>
            <w:shd w:fill="F3F6F8"/>
            <w:tcMar>
              <w:top w:w="80" w:type="dxa"/>
              <w:start w:w="100" w:type="dxa"/>
              <w:bottom w:w="80" w:type="dxa"/>
              <w:end w:w="100" w:type="dxa"/>
            </w:tcMar>
            <w:vAlign w:val="center"/>
          </w:tcPr>
          <w:p>
            <w:r/>
            <w:r>
              <w:rPr>
                <w:rFonts w:ascii="Liberation Sans" w:hAnsi="Liberation Sans"/>
                <w:sz w:val="17"/>
              </w:rPr>
              <w:t>Process</w:t>
            </w:r>
          </w:p>
        </w:tc>
        <w:tc>
          <w:tcPr>
            <w:tcW w:type="dxa" w:w="7560"/>
            <w:shd w:fill="F3F6F8"/>
            <w:tcMar>
              <w:top w:w="80" w:type="dxa"/>
              <w:start w:w="100" w:type="dxa"/>
              <w:bottom w:w="80" w:type="dxa"/>
              <w:end w:w="100" w:type="dxa"/>
            </w:tcMar>
            <w:vAlign w:val="center"/>
          </w:tcPr>
          <w:p>
            <w:r/>
            <w:r>
              <w:rPr>
                <w:rFonts w:ascii="Liberation Sans" w:hAnsi="Liberation Sans"/>
                <w:sz w:val="17"/>
              </w:rPr>
              <w:t>Primary suspicious process</w:t>
            </w:r>
          </w:p>
        </w:tc>
      </w:tr>
      <w:tr>
        <w:tc>
          <w:tcPr>
            <w:tcW w:type="dxa" w:w="2376"/>
            <w:tcMar>
              <w:top w:w="80" w:type="dxa"/>
              <w:start w:w="100" w:type="dxa"/>
              <w:bottom w:w="80" w:type="dxa"/>
              <w:end w:w="100" w:type="dxa"/>
            </w:tcMar>
            <w:vAlign w:val="center"/>
          </w:tcPr>
          <w:p>
            <w:r/>
            <w:r>
              <w:rPr>
                <w:rFonts w:ascii="Liberation Sans" w:hAnsi="Liberation Sans"/>
                <w:sz w:val="17"/>
              </w:rPr>
              <w:t>Connections</w:t>
            </w:r>
          </w:p>
        </w:tc>
        <w:tc>
          <w:tcPr>
            <w:tcW w:type="dxa" w:w="7560"/>
            <w:tcMar>
              <w:top w:w="80" w:type="dxa"/>
              <w:start w:w="100" w:type="dxa"/>
              <w:bottom w:w="80" w:type="dxa"/>
              <w:end w:w="100" w:type="dxa"/>
            </w:tcMar>
            <w:vAlign w:val="center"/>
          </w:tcPr>
          <w:p>
            <w:r/>
            <w:r>
              <w:rPr>
                <w:rFonts w:ascii="Liberation Sans" w:hAnsi="Liberation Sans"/>
                <w:sz w:val="17"/>
              </w:rPr>
              <w:t>Direct and descendant-owned connections associated with the target</w:t>
            </w:r>
          </w:p>
        </w:tc>
      </w:tr>
      <w:tr>
        <w:tc>
          <w:tcPr>
            <w:tcW w:type="dxa" w:w="2376"/>
            <w:shd w:fill="F3F6F8"/>
            <w:tcMar>
              <w:top w:w="80" w:type="dxa"/>
              <w:start w:w="100" w:type="dxa"/>
              <w:bottom w:w="80" w:type="dxa"/>
              <w:end w:w="100" w:type="dxa"/>
            </w:tcMar>
            <w:vAlign w:val="center"/>
          </w:tcPr>
          <w:p>
            <w:r/>
            <w:r>
              <w:rPr>
                <w:rFonts w:ascii="Liberation Sans" w:hAnsi="Liberation Sans"/>
                <w:sz w:val="17"/>
              </w:rPr>
              <w:t>Persistence</w:t>
            </w:r>
          </w:p>
        </w:tc>
        <w:tc>
          <w:tcPr>
            <w:tcW w:type="dxa" w:w="7560"/>
            <w:shd w:fill="F3F6F8"/>
            <w:tcMar>
              <w:top w:w="80" w:type="dxa"/>
              <w:start w:w="100" w:type="dxa"/>
              <w:bottom w:w="80" w:type="dxa"/>
              <w:end w:w="100" w:type="dxa"/>
            </w:tcMar>
            <w:vAlign w:val="center"/>
          </w:tcPr>
          <w:p>
            <w:r/>
            <w:r>
              <w:rPr>
                <w:rFonts w:ascii="Liberation Sans" w:hAnsi="Liberation Sans"/>
                <w:sz w:val="17"/>
              </w:rPr>
              <w:t>Persistence entries matched to the target process</w:t>
            </w:r>
          </w:p>
        </w:tc>
      </w:tr>
      <w:tr>
        <w:tc>
          <w:tcPr>
            <w:tcW w:type="dxa" w:w="2376"/>
            <w:tcMar>
              <w:top w:w="80" w:type="dxa"/>
              <w:start w:w="100" w:type="dxa"/>
              <w:bottom w:w="80" w:type="dxa"/>
              <w:end w:w="100" w:type="dxa"/>
            </w:tcMar>
            <w:vAlign w:val="center"/>
          </w:tcPr>
          <w:p>
            <w:r/>
            <w:r>
              <w:rPr>
                <w:rFonts w:ascii="Liberation Sans" w:hAnsi="Liberation Sans"/>
                <w:sz w:val="17"/>
              </w:rPr>
              <w:t>RelatedProcesses</w:t>
            </w:r>
          </w:p>
        </w:tc>
        <w:tc>
          <w:tcPr>
            <w:tcW w:type="dxa" w:w="7560"/>
            <w:tcMar>
              <w:top w:w="80" w:type="dxa"/>
              <w:start w:w="100" w:type="dxa"/>
              <w:bottom w:w="80" w:type="dxa"/>
              <w:end w:w="100" w:type="dxa"/>
            </w:tcMar>
            <w:vAlign w:val="center"/>
          </w:tcPr>
          <w:p>
            <w:r/>
            <w:r>
              <w:rPr>
                <w:rFonts w:ascii="Liberation Sans" w:hAnsi="Liberation Sans"/>
                <w:sz w:val="17"/>
              </w:rPr>
              <w:t>Descendant processes discovered through PPID relationships</w:t>
            </w:r>
          </w:p>
        </w:tc>
      </w:tr>
      <w:tr>
        <w:tc>
          <w:tcPr>
            <w:tcW w:type="dxa" w:w="2376"/>
            <w:shd w:fill="F3F6F8"/>
            <w:tcMar>
              <w:top w:w="80" w:type="dxa"/>
              <w:start w:w="100" w:type="dxa"/>
              <w:bottom w:w="80" w:type="dxa"/>
              <w:end w:w="100" w:type="dxa"/>
            </w:tcMar>
            <w:vAlign w:val="center"/>
          </w:tcPr>
          <w:p>
            <w:r/>
            <w:r>
              <w:rPr>
                <w:rFonts w:ascii="Liberation Sans" w:hAnsi="Liberation Sans"/>
                <w:sz w:val="17"/>
              </w:rPr>
              <w:t>Findings</w:t>
            </w:r>
          </w:p>
        </w:tc>
        <w:tc>
          <w:tcPr>
            <w:tcW w:type="dxa" w:w="7560"/>
            <w:shd w:fill="F3F6F8"/>
            <w:tcMar>
              <w:top w:w="80" w:type="dxa"/>
              <w:start w:w="100" w:type="dxa"/>
              <w:bottom w:w="80" w:type="dxa"/>
              <w:end w:w="100" w:type="dxa"/>
            </w:tcMar>
            <w:vAlign w:val="center"/>
          </w:tcPr>
          <w:p>
            <w:r/>
            <w:r>
              <w:rPr>
                <w:rFonts w:ascii="Liberation Sans" w:hAnsi="Liberation Sans"/>
                <w:sz w:val="17"/>
              </w:rPr>
              <w:t>Human-readable reasons that contributed to detection</w:t>
            </w:r>
          </w:p>
        </w:tc>
      </w:tr>
      <w:tr>
        <w:tc>
          <w:tcPr>
            <w:tcW w:type="dxa" w:w="2376"/>
            <w:tcMar>
              <w:top w:w="80" w:type="dxa"/>
              <w:start w:w="100" w:type="dxa"/>
              <w:bottom w:w="80" w:type="dxa"/>
              <w:end w:w="100" w:type="dxa"/>
            </w:tcMar>
            <w:vAlign w:val="center"/>
          </w:tcPr>
          <w:p>
            <w:r/>
            <w:r>
              <w:rPr>
                <w:rFonts w:ascii="Liberation Sans" w:hAnsi="Liberation Sans"/>
                <w:sz w:val="17"/>
              </w:rPr>
              <w:t>Confidence</w:t>
            </w:r>
          </w:p>
        </w:tc>
        <w:tc>
          <w:tcPr>
            <w:tcW w:type="dxa" w:w="7560"/>
            <w:tcMar>
              <w:top w:w="80" w:type="dxa"/>
              <w:start w:w="100" w:type="dxa"/>
              <w:bottom w:w="80" w:type="dxa"/>
              <w:end w:w="100" w:type="dxa"/>
            </w:tcMar>
            <w:vAlign w:val="center"/>
          </w:tcPr>
          <w:p>
            <w:r/>
            <w:r>
              <w:rPr>
                <w:rFonts w:ascii="Liberation Sans" w:hAnsi="Liberation Sans"/>
                <w:sz w:val="17"/>
              </w:rPr>
              <w:t>low, medium, or high based on the evidence score</w:t>
            </w:r>
          </w:p>
        </w:tc>
      </w:tr>
    </w:tbl>
    <w:p>
      <w:pPr>
        <w:spacing w:after="40"/>
      </w:pPr>
    </w:p>
    <w:p>
      <w:pPr>
        <w:pStyle w:val="Heading1"/>
      </w:pPr>
      <w:r>
        <w:rPr>
          <w:rFonts w:ascii="Liberation Sans" w:hAnsi="Liberation Sans"/>
          <w:b/>
          <w:color w:val="193755"/>
          <w:sz w:val="32"/>
        </w:rPr>
        <w:t>9. Knowledge and engine lifecycle</w:t>
      </w:r>
    </w:p>
    <w:p>
      <w:pPr>
        <w:spacing w:after="120" w:line="259" w:lineRule="auto"/>
      </w:pPr>
      <w:r>
        <w:rPr>
          <w:rFonts w:ascii="Liberation Sans" w:hAnsi="Liberation Sans"/>
          <w:sz w:val="20"/>
        </w:rPr>
        <w:t>Inspect returns an InspectResult to the internal controller. The controller stores the complete result in knowledge.Data.Inspect and marks the Inspect engine complete. The output layer reads from knowledge rather than owning or recomputing detection data.</w:t>
      </w:r>
    </w:p>
    <w:p>
      <w:pPr>
        <w:pStyle w:val="CodeBlock"/>
      </w:pPr>
      <w:r>
        <w:rPr>
          <w:rFonts w:ascii="DejaVu Sans Mono" w:hAnsi="DejaVu Sans Mono"/>
          <w:sz w:val="17"/>
        </w:rPr>
        <w:t>inspect.Inspect()</w:t>
        <w:br/>
      </w:r>
      <w:r>
        <w:rPr>
          <w:rFonts w:ascii="DejaVu Sans Mono" w:hAnsi="DejaVu Sans Mono"/>
          <w:sz w:val="17"/>
        </w:rPr>
        <w:t xml:space="preserve">      |</w:t>
        <w:br/>
      </w:r>
      <w:r>
        <w:rPr>
          <w:rFonts w:ascii="DejaVu Sans Mono" w:hAnsi="DejaVu Sans Mono"/>
          <w:sz w:val="17"/>
        </w:rPr>
        <w:t xml:space="preserve">      v</w:t>
        <w:br/>
      </w:r>
      <w:r>
        <w:rPr>
          <w:rFonts w:ascii="DejaVu Sans Mono" w:hAnsi="DejaVu Sans Mono"/>
          <w:sz w:val="17"/>
        </w:rPr>
        <w:t>knowledge.Data.Inspect</w:t>
        <w:br/>
      </w:r>
      <w:r>
        <w:rPr>
          <w:rFonts w:ascii="DejaVu Sans Mono" w:hAnsi="DejaVu Sans Mono"/>
          <w:sz w:val="17"/>
        </w:rPr>
        <w:t xml:space="preserve">      |</w:t>
        <w:br/>
      </w:r>
      <w:r>
        <w:rPr>
          <w:rFonts w:ascii="DejaVu Sans Mono" w:hAnsi="DejaVu Sans Mono"/>
          <w:sz w:val="17"/>
        </w:rPr>
        <w:t xml:space="preserve">      +-- output.Inspect()</w:t>
        <w:br/>
      </w:r>
      <w:r>
        <w:rPr>
          <w:rFonts w:ascii="DejaVu Sans Mono" w:hAnsi="DejaVu Sans Mono"/>
          <w:sz w:val="17"/>
        </w:rPr>
        <w:t xml:space="preserve">      |</w:t>
        <w:br/>
      </w:r>
      <w:r>
        <w:rPr>
          <w:rFonts w:ascii="DejaVu Sans Mono" w:hAnsi="DejaVu Sans Mono"/>
          <w:sz w:val="17"/>
        </w:rPr>
        <w:t xml:space="preserve">      `-- cmd prompt</w:t>
        <w:br/>
      </w:r>
      <w:r>
        <w:rPr>
          <w:rFonts w:ascii="DejaVu Sans Mono" w:hAnsi="DejaVu Sans Mono"/>
          <w:sz w:val="17"/>
        </w:rPr>
        <w:t xml:space="preserve">             |</w:t>
        <w:br/>
      </w:r>
      <w:r>
        <w:rPr>
          <w:rFonts w:ascii="DejaVu Sans Mono" w:hAnsi="DejaVu Sans Mono"/>
          <w:sz w:val="17"/>
        </w:rPr>
        <w:t xml:space="preserve">             +-- user selects a Target</w:t>
        <w:br/>
      </w:r>
      <w:r>
        <w:rPr>
          <w:rFonts w:ascii="DejaVu Sans Mono" w:hAnsi="DejaVu Sans Mono"/>
          <w:sz w:val="17"/>
        </w:rPr>
        <w:t xml:space="preserve">             +-- knowledge.Data.Target = selected target</w:t>
        <w:br/>
      </w:r>
      <w:r>
        <w:rPr>
          <w:rFonts w:ascii="DejaVu Sans Mono" w:hAnsi="DejaVu Sans Mono"/>
          <w:sz w:val="17"/>
        </w:rPr>
        <w:t xml:space="preserve">             `-- Eradicate may be activated</w:t>
      </w:r>
    </w:p>
    <w:p>
      <w:pPr>
        <w:spacing w:after="120" w:line="259" w:lineRule="auto"/>
      </w:pPr>
      <w:r>
        <w:rPr>
          <w:rFonts w:ascii="Liberation Sans" w:hAnsi="Liberation Sans"/>
          <w:sz w:val="20"/>
        </w:rPr>
        <w:t>This keeps knowledge as the source of truth. The Eradicate engine does not receive target data through the controller; it reads the selected target from knowledge.Data.Target.</w:t>
      </w:r>
    </w:p>
    <w:p>
      <w:pPr>
        <w:pStyle w:val="Heading1"/>
      </w:pPr>
      <w:r>
        <w:rPr>
          <w:rFonts w:ascii="Liberation Sans" w:hAnsi="Liberation Sans"/>
          <w:b/>
          <w:color w:val="193755"/>
          <w:sz w:val="32"/>
        </w:rPr>
        <w:t>10. Output and report behavior</w:t>
      </w:r>
    </w:p>
    <w:p>
      <w:pPr>
        <w:spacing w:after="120" w:line="259" w:lineRule="auto"/>
      </w:pPr>
      <w:r>
        <w:rPr>
          <w:rFonts w:ascii="Liberation Sans" w:hAnsi="Liberation Sans"/>
          <w:sz w:val="20"/>
        </w:rPr>
        <w:t>Inspect output is rendered through the output/inspect package and shared UI formatting helpers. The terminal uses ANSI colors, while saved reports use the same rendered format with ANSI styling removed. This guarantees that terminal and file output stay structurally identical.</w:t>
      </w:r>
    </w:p>
    <w:p>
      <w:pPr>
        <w:spacing w:after="120" w:line="259" w:lineRule="auto"/>
      </w:pPr>
      <w:r>
        <w:rPr>
          <w:rFonts w:ascii="Liberation Sans" w:hAnsi="Liberation Sans"/>
          <w:sz w:val="20"/>
        </w:rPr>
        <w:t>At the end of the command lifecycle, Defuse saves a report only when Inspect or Eradicate contains data. A clean Inspect run with collected processes, connections, and persistence still produces a report even when Targets is zero. Only a genuinely empty knowledge result produces no file.</w:t>
      </w:r>
    </w:p>
    <w:p>
      <w:pPr>
        <w:pStyle w:val="Heading1"/>
      </w:pPr>
      <w:r>
        <w:rPr>
          <w:rFonts w:ascii="Liberation Sans" w:hAnsi="Liberation Sans"/>
          <w:b/>
          <w:color w:val="193755"/>
          <w:sz w:val="32"/>
        </w:rPr>
        <w:t>11. Current scope and intentional limits</w:t>
      </w:r>
    </w:p>
    <w:p>
      <w:pPr>
        <w:pStyle w:val="ListBullet"/>
      </w:pPr>
      <w:r>
        <w:rPr>
          <w:rFonts w:ascii="Liberation Sans" w:hAnsi="Liberation Sans"/>
          <w:sz w:val="20"/>
        </w:rPr>
        <w:t>Inspect is passive with respect to remediation: it collects and correlates but does not terminate processes or remove files/persistence.</w:t>
      </w:r>
    </w:p>
    <w:p>
      <w:pPr>
        <w:pStyle w:val="ListBullet"/>
      </w:pPr>
      <w:r>
        <w:rPr>
          <w:rFonts w:ascii="Liberation Sans" w:hAnsi="Liberation Sans"/>
          <w:sz w:val="20"/>
        </w:rPr>
        <w:t>PPID analysis detects spawned descendants, not process injection into an unrelated existing process.</w:t>
      </w:r>
    </w:p>
    <w:p>
      <w:pPr>
        <w:pStyle w:val="ListBullet"/>
      </w:pPr>
      <w:r>
        <w:rPr>
          <w:rFonts w:ascii="Liberation Sans" w:hAnsi="Liberation Sans"/>
          <w:sz w:val="20"/>
        </w:rPr>
        <w:t>Public network access is weak evidence by design because browsers, update agents, services, and many legitimate applications connect externally.</w:t>
      </w:r>
    </w:p>
    <w:p>
      <w:pPr>
        <w:pStyle w:val="ListBullet"/>
      </w:pPr>
      <w:r>
        <w:rPr>
          <w:rFonts w:ascii="Liberation Sans" w:hAnsi="Liberation Sans"/>
          <w:sz w:val="20"/>
        </w:rPr>
        <w:t>Persistence is weak evidence by design because normal services, startup applications, and operating-system components persist legitimately.</w:t>
      </w:r>
    </w:p>
    <w:p>
      <w:pPr>
        <w:pStyle w:val="ListBullet"/>
      </w:pPr>
      <w:r>
        <w:rPr>
          <w:rFonts w:ascii="Liberation Sans" w:hAnsi="Liberation Sans"/>
          <w:sz w:val="20"/>
        </w:rPr>
        <w:t>The current scoring model is heuristic and can be tuned as Defuse is tested against clean machines and controlled malware samples.</w:t>
      </w:r>
    </w:p>
    <w:p>
      <w:pPr>
        <w:pStyle w:val="Heading1"/>
      </w:pPr>
      <w:r>
        <w:rPr>
          <w:rFonts w:ascii="Liberation Sans" w:hAnsi="Liberation Sans"/>
          <w:b/>
          <w:color w:val="193755"/>
          <w:sz w:val="32"/>
        </w:rPr>
        <w:t>12. What a normal clean run can look like</w:t>
      </w:r>
    </w:p>
    <w:p>
      <w:pPr>
        <w:spacing w:after="120" w:line="259" w:lineRule="auto"/>
      </w:pPr>
      <w:r>
        <w:rPr>
          <w:rFonts w:ascii="Liberation Sans" w:hAnsi="Liberation Sans"/>
          <w:sz w:val="20"/>
        </w:rPr>
        <w:t>A clean system is expected to produce a large amount of raw data. Inspect deliberately prints and can save that evidence even when no process reaches the target threshold. For example, the current Linux test run collected hundreds of processes, dozens of network connections, and around one hundred persistence entries while producing zero suspicious Targets.</w:t>
      </w:r>
    </w:p>
    <w:p>
      <w:pPr>
        <w:spacing w:after="120" w:line="259" w:lineRule="auto"/>
      </w:pPr>
      <w:r>
        <w:rPr>
          <w:rFonts w:ascii="Liberation Sans" w:hAnsi="Liberation Sans"/>
          <w:sz w:val="20"/>
        </w:rPr>
        <w:t>That result is not a failure. It demonstrates the intended distinction between collection and detection: ordinary system state is retained for visibility, while Correlate() filters that state down to Targets only when enough independent evidence is present.</w:t>
      </w:r>
    </w:p>
    <w:p>
      <w:pPr>
        <w:pStyle w:val="CodeBlock"/>
      </w:pPr>
      <w:r>
        <w:rPr>
          <w:rFonts w:ascii="DejaVu Sans Mono" w:hAnsi="DejaVu Sans Mono"/>
          <w:sz w:val="17"/>
        </w:rPr>
        <w:t>Inspect</w:t>
        <w:br/>
      </w:r>
      <w:r>
        <w:rPr>
          <w:rFonts w:ascii="DejaVu Sans Mono" w:hAnsi="DejaVu Sans Mono"/>
          <w:sz w:val="17"/>
        </w:rPr>
        <w:t>=======</w:t>
        <w:br/>
      </w:r>
      <w:r>
        <w:rPr>
          <w:rFonts w:ascii="DejaVu Sans Mono" w:hAnsi="DejaVu Sans Mono"/>
          <w:sz w:val="17"/>
        </w:rPr>
        <w:t>Summary</w:t>
        <w:br/>
      </w:r>
      <w:r>
        <w:rPr>
          <w:rFonts w:ascii="DejaVu Sans Mono" w:hAnsi="DejaVu Sans Mono"/>
          <w:sz w:val="17"/>
        </w:rPr>
        <w:t>-------</w:t>
        <w:br/>
      </w:r>
      <w:r>
        <w:rPr>
          <w:rFonts w:ascii="DejaVu Sans Mono" w:hAnsi="DejaVu Sans Mono"/>
          <w:sz w:val="17"/>
        </w:rPr>
        <w:t>Processes:       many</w:t>
        <w:br/>
      </w:r>
      <w:r>
        <w:rPr>
          <w:rFonts w:ascii="DejaVu Sans Mono" w:hAnsi="DejaVu Sans Mono"/>
          <w:sz w:val="17"/>
        </w:rPr>
        <w:t>Connections:     many</w:t>
        <w:br/>
      </w:r>
      <w:r>
        <w:rPr>
          <w:rFonts w:ascii="DejaVu Sans Mono" w:hAnsi="DejaVu Sans Mono"/>
          <w:sz w:val="17"/>
        </w:rPr>
        <w:t>Persistence:     many</w:t>
        <w:br/>
      </w:r>
      <w:r>
        <w:rPr>
          <w:rFonts w:ascii="DejaVu Sans Mono" w:hAnsi="DejaVu Sans Mono"/>
          <w:sz w:val="17"/>
        </w:rPr>
        <w:t>Targets:         0</w:t>
        <w:br/>
      </w:r>
      <w:r>
        <w:rPr>
          <w:rFonts w:ascii="DejaVu Sans Mono" w:hAnsi="DejaVu Sans Mono"/>
          <w:sz w:val="17"/>
        </w:rPr>
        <w:br/>
      </w:r>
      <w:r>
        <w:rPr>
          <w:rFonts w:ascii="DejaVu Sans Mono" w:hAnsi="DejaVu Sans Mono"/>
          <w:sz w:val="17"/>
        </w:rPr>
        <w:t>Targets</w:t>
        <w:br/>
      </w:r>
      <w:r>
        <w:rPr>
          <w:rFonts w:ascii="DejaVu Sans Mono" w:hAnsi="DejaVu Sans Mono"/>
          <w:sz w:val="17"/>
        </w:rPr>
        <w:t>-------</w:t>
        <w:br/>
      </w:r>
      <w:r>
        <w:rPr>
          <w:rFonts w:ascii="DejaVu Sans Mono" w:hAnsi="DejaVu Sans Mono"/>
          <w:sz w:val="17"/>
        </w:rPr>
        <w:t xml:space="preserve">  - no suspicious targets detected</w:t>
      </w:r>
    </w:p>
    <w:p>
      <w:pPr>
        <w:pStyle w:val="Heading1"/>
      </w:pPr>
      <w:r>
        <w:rPr>
          <w:rFonts w:ascii="Liberation Sans" w:hAnsi="Liberation Sans"/>
          <w:b/>
          <w:color w:val="193755"/>
          <w:sz w:val="32"/>
        </w:rPr>
        <w:t>Summary</w:t>
      </w:r>
    </w:p>
    <w:p>
      <w:pPr>
        <w:spacing w:after="120" w:line="259" w:lineRule="auto"/>
      </w:pPr>
      <w:r>
        <w:rPr>
          <w:rFonts w:ascii="Liberation Sans" w:hAnsi="Liberation Sans"/>
          <w:sz w:val="20"/>
        </w:rPr>
        <w:t>Inspect turns a large amount of ordinary operating-system state into a smaller set of explainable suspicious targets. Its design deliberately separates collection, correlation, knowledge storage, user interaction, and remediation. This makes it possible to expand Windows and Linux detection independently while preserving the same engine contract and the same downstream Target model.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6"/>
      </w:rPr>
      <w:t>Technical implementation overview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A646E"/>
        <w:sz w:val="16"/>
      </w:rPr>
      <w:t>DEFUSE / INSPECT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60"/>
      <w:ind w:left="259" w:right="115"/>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Defuse Inspect Engine</dc:title>
  <dc:subject>Technical overview of the Defuse Inspect engine</dc:subject>
  <dc:creator>python-docx</dc:creator>
  <cp:keywords>Defuse, Inspect, malware analysis, process correlation, persistence, Linux, Windows</cp:keywords>
  <dc:description>Generated technical documentation for the current Defuse Inspect implementation.</dc:description>
  <cp:lastModifiedBy/>
  <cp:revision>1</cp:revision>
  <dcterms:created xsi:type="dcterms:W3CDTF">2013-12-23T23:15:00Z</dcterms:created>
  <dcterms:modified xsi:type="dcterms:W3CDTF">2013-12-23T23:15:00Z</dcterms:modified>
  <cp:category/>
</cp:coreProperties>
</file>