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Modelo de datos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Mordi — Pedidos en casas de comidas rápidas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1.0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07/10/2026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Fuente: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backend/prisma/schema.prisma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Notación:</w:t>
      </w:r>
      <w:r>
        <w:rPr>
          <w:rFonts w:ascii="Calibri" w:hAnsi="Calibri" w:cs="Calibri"/>
          <w:b w:val="0"/>
          <w:i w:val="0"/>
          <w:sz w:val="22"/>
        </w:rPr>
        <w:t xml:space="preserve"> Crow’s Foot (modelo lógico), alineado a lo que está en la base al cierre del Sprint 3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 hay tablas de promociones ni de reportes: los reportes se calculan sobre los pedidos y el stock. Esas entidades entran con el Sprint 4.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Salvo que una nota diga lo contrario, las entidades tienen </w:t>
      </w:r>
      <w:r>
        <w:rPr>
          <w:rFonts w:ascii="Consolas" w:hAnsi="Consolas" w:cs="Consolas"/>
          <w:b w:val="0"/>
          <w:i w:val="0"/>
          <w:sz w:val="20"/>
        </w:rPr>
        <w:t>createdAt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updatedAt</w:t>
      </w:r>
      <w:r>
        <w:rPr>
          <w:rFonts w:ascii="Calibri" w:hAnsi="Calibri" w:cs="Calibri"/>
          <w:b w:val="0"/>
          <w:i w:val="0"/>
          <w:sz w:val="22"/>
        </w:rPr>
        <w:t>. No se dibujan en cada caja.</w:t>
      </w:r>
    </w:p>
    <w:p>
      <w:r>
        <w:rPr>
          <w:rFonts w:ascii="Calibri" w:hAnsi="Calibri" w:cs="Calibri"/>
          <w:b w:val="0"/>
          <w:i w:val="0"/>
          <w:color w:val="555555"/>
          <w:sz w:val="22"/>
        </w:rPr>
        <w:t>Entidades del diagrama (la cardinalidad está en la tabla que sigue).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2523"/>
        <w:gridCol w:w="2523"/>
      </w:tblGrid>
      <w:tr>
        <w:trPr>
          <w:tblHeader/>
        </w:trPr>
        <w:tc>
          <w:tcPr>
            <w:tcW w:type="dxa" w:w="504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50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50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UK</w:t>
            </w:r>
          </w:p>
        </w:tc>
      </w:tr>
      <w:tr>
        <w:tc>
          <w:tcPr>
            <w:tcW w:type="dxa" w:w="50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passwordHash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50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50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PasswordResetToken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2990"/>
        <w:gridCol w:w="3737"/>
      </w:tblGrid>
      <w:tr>
        <w:trPr>
          <w:tblHeader/>
        </w:trP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99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73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9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7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userId</w:t>
            </w:r>
          </w:p>
        </w:tc>
        <w:tc>
          <w:tcPr>
            <w:tcW w:type="dxa" w:w="299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73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tokenHash</w:t>
            </w:r>
          </w:p>
        </w:tc>
        <w:tc>
          <w:tcPr>
            <w:tcW w:type="dxa" w:w="29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7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UK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expiresAt</w:t>
            </w:r>
          </w:p>
        </w:tc>
        <w:tc>
          <w:tcPr>
            <w:tcW w:type="dxa" w:w="299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373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usedAt</w:t>
            </w:r>
          </w:p>
        </w:tc>
        <w:tc>
          <w:tcPr>
            <w:tcW w:type="dxa" w:w="29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37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"nullable"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Address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2436"/>
        <w:gridCol w:w="4524"/>
      </w:tblGrid>
      <w:tr>
        <w:trPr>
          <w:tblHeader/>
        </w:trPr>
        <w:tc>
          <w:tcPr>
            <w:tcW w:type="dxa" w:w="313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43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52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1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452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31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userId</w:t>
            </w:r>
          </w:p>
        </w:tc>
        <w:tc>
          <w:tcPr>
            <w:tcW w:type="dxa" w:w="243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452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 "nullable"</w:t>
            </w:r>
          </w:p>
        </w:tc>
      </w:tr>
      <w:tr>
        <w:tc>
          <w:tcPr>
            <w:tcW w:type="dxa" w:w="31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alias</w:t>
            </w:r>
          </w:p>
        </w:tc>
        <w:tc>
          <w:tcPr>
            <w:tcW w:type="dxa" w:w="2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452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1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street</w:t>
            </w:r>
          </w:p>
        </w:tc>
        <w:tc>
          <w:tcPr>
            <w:tcW w:type="dxa" w:w="243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452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1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latitude</w:t>
            </w:r>
          </w:p>
        </w:tc>
        <w:tc>
          <w:tcPr>
            <w:tcW w:type="dxa" w:w="2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452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1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longitude</w:t>
            </w:r>
          </w:p>
        </w:tc>
        <w:tc>
          <w:tcPr>
            <w:tcW w:type="dxa" w:w="243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452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1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isDefault</w:t>
            </w:r>
          </w:p>
        </w:tc>
        <w:tc>
          <w:tcPr>
            <w:tcW w:type="dxa" w:w="2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452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Cart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userId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 UK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CartItem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5"/>
        <w:gridCol w:w="2883"/>
        <w:gridCol w:w="2883"/>
      </w:tblGrid>
      <w:tr>
        <w:trPr>
          <w:tblHeader/>
        </w:trP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cartId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productId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quantity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notes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extrasKey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CartItemExtra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87"/>
        <w:gridCol w:w="2752"/>
        <w:gridCol w:w="2752"/>
      </w:tblGrid>
      <w:tr>
        <w:trPr>
          <w:tblHeader/>
        </w:trPr>
        <w:tc>
          <w:tcPr>
            <w:tcW w:type="dxa" w:w="458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5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cartItemId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PK, FK</w:t>
            </w:r>
          </w:p>
        </w:tc>
      </w:tr>
      <w:tr>
        <w:tc>
          <w:tcPr>
            <w:tcW w:type="dxa" w:w="45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extraId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PK, FK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Category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UK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slug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UK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Product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25"/>
        <w:gridCol w:w="2943"/>
        <w:gridCol w:w="2523"/>
      </w:tblGrid>
      <w:tr>
        <w:trPr>
          <w:tblHeader/>
        </w:trP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slug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UK</w:t>
            </w:r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price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available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ProductImage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5"/>
        <w:gridCol w:w="2883"/>
        <w:gridCol w:w="2883"/>
      </w:tblGrid>
      <w:tr>
        <w:trPr>
          <w:tblHeader/>
        </w:trP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productId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url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sortOrder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Branch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2825"/>
        <w:gridCol w:w="2422"/>
      </w:tblGrid>
      <w:tr>
        <w:trPr>
          <w:tblHeader/>
        </w:trP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latitude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longitude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openingHours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phone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282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242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Stock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5"/>
        <w:gridCol w:w="2883"/>
        <w:gridCol w:w="2883"/>
      </w:tblGrid>
      <w:tr>
        <w:trPr>
          <w:tblHeader/>
        </w:trP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branchId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productId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available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reserved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8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Parameter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key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value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Order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59"/>
        <w:gridCol w:w="2581"/>
        <w:gridCol w:w="3051"/>
      </w:tblGrid>
      <w:tr>
        <w:trPr>
          <w:tblHeader/>
        </w:trP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userId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 "nullable"</w:t>
            </w:r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branchId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addressId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guestName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"nullable"</w:t>
            </w:r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guestEmail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"nullable"</w:t>
            </w:r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OrderStatus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totalAmount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estimatedDeliveryAt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45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stockReserved</w:t>
            </w:r>
          </w:p>
        </w:tc>
        <w:tc>
          <w:tcPr>
            <w:tcW w:type="dxa" w:w="25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305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OrderItem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28"/>
        <w:gridCol w:w="3211"/>
        <w:gridCol w:w="2752"/>
      </w:tblGrid>
      <w:tr>
        <w:trPr>
          <w:tblHeader/>
        </w:trPr>
        <w:tc>
          <w:tcPr>
            <w:tcW w:type="dxa" w:w="412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21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1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41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orderId</w:t>
            </w:r>
          </w:p>
        </w:tc>
        <w:tc>
          <w:tcPr>
            <w:tcW w:type="dxa" w:w="321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1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productId</w:t>
            </w:r>
          </w:p>
        </w:tc>
        <w:tc>
          <w:tcPr>
            <w:tcW w:type="dxa" w:w="3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1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quantity</w:t>
            </w:r>
          </w:p>
        </w:tc>
        <w:tc>
          <w:tcPr>
            <w:tcW w:type="dxa" w:w="321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1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unitPrice</w:t>
            </w:r>
          </w:p>
        </w:tc>
        <w:tc>
          <w:tcPr>
            <w:tcW w:type="dxa" w:w="3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1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notes</w:t>
            </w:r>
          </w:p>
        </w:tc>
        <w:tc>
          <w:tcPr>
            <w:tcW w:type="dxa" w:w="321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5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OrderItemExtra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25"/>
        <w:gridCol w:w="2943"/>
        <w:gridCol w:w="2523"/>
      </w:tblGrid>
      <w:tr>
        <w:trPr>
          <w:tblHeader/>
        </w:trP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orderItemId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extraId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46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price</w:t>
            </w:r>
          </w:p>
        </w:tc>
        <w:tc>
          <w:tcPr>
            <w:tcW w:type="dxa" w:w="29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25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OrderStatusHistory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81"/>
        <w:gridCol w:w="2846"/>
        <w:gridCol w:w="3364"/>
      </w:tblGrid>
      <w:tr>
        <w:trPr>
          <w:tblHeader/>
        </w:trPr>
        <w:tc>
          <w:tcPr>
            <w:tcW w:type="dxa" w:w="388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284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8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PK</w:t>
            </w:r>
          </w:p>
        </w:tc>
      </w:tr>
      <w:tr>
        <w:tc>
          <w:tcPr>
            <w:tcW w:type="dxa" w:w="38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orderId</w:t>
            </w:r>
          </w:p>
        </w:tc>
        <w:tc>
          <w:tcPr>
            <w:tcW w:type="dxa" w:w="2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</w:t>
            </w:r>
          </w:p>
        </w:tc>
      </w:tr>
      <w:tr>
        <w:tc>
          <w:tcPr>
            <w:tcW w:type="dxa" w:w="38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2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OrderStatus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8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changedAt</w:t>
            </w:r>
          </w:p>
        </w:tc>
        <w:tc>
          <w:tcPr>
            <w:tcW w:type="dxa" w:w="2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8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changedByUserId</w:t>
            </w:r>
          </w:p>
        </w:tc>
        <w:tc>
          <w:tcPr>
            <w:tcW w:type="dxa" w:w="2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FK "nullable"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Cardinalidades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39"/>
        <w:gridCol w:w="839"/>
        <w:gridCol w:w="1645"/>
        <w:gridCol w:w="6766"/>
      </w:tblGrid>
      <w:tr>
        <w:trPr>
          <w:tblHeader/>
        </w:trP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 A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Card.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 B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Relación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0..1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Cart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 usuario tiene a lo sumo un carrito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Direcciones del cliente.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userId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nulo: dirección de un invitado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Pedidos del cliente.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userId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nulo: checkout de invitado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PasswordResetToken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Tokens de recuperación. Se borran con el usuario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OrderStatusHistory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Cambios de estado hechos por ese usuario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Cart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CartItem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Único por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cartId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productId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extrasKey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CartItem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CartItemExtra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Adicionales de la línea. Se borra en cascada con la línea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 — 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Tabla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_ProductCategories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ProductImage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Galería. Se borra con el producto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Branch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Único por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branchId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productId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). Sin fila, el producto no se vende ahí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mismo producto en varias sucursales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Branch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 que prepara el pedido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Dirección de entrega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1..N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OrderItem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Detalle. Se borra con el pedido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OrderItem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OrderItemExtra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Adicionales congelados al confirmar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— 0..N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OrderStatusHistory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Timeline. Se borra con el pedido</w:t>
            </w:r>
          </w:p>
        </w:tc>
      </w:tr>
      <w:tr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Parameter</w:t>
            </w:r>
          </w:p>
        </w:tc>
        <w:tc>
          <w:tcPr>
            <w:tcW w:type="dxa" w:w="8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6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se relaciona. Una fila por clave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Enums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Role: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customer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admin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OrderStatus: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confirmed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preparing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ready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on_the_way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delivered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cancelled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Qué guarda cada bloque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Pedido de invitado.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Order.userId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Address.userId</w:t>
      </w:r>
      <w:r>
        <w:rPr>
          <w:rFonts w:ascii="Calibri" w:hAnsi="Calibri" w:cs="Calibri"/>
          <w:b w:val="0"/>
          <w:i w:val="0"/>
          <w:sz w:val="22"/>
        </w:rPr>
        <w:t xml:space="preserve"> pueden ser nulos. El pedido guarda </w:t>
      </w:r>
      <w:r>
        <w:rPr>
          <w:rFonts w:ascii="Consolas" w:hAnsi="Consolas" w:cs="Consolas"/>
          <w:b w:val="0"/>
          <w:i w:val="0"/>
          <w:sz w:val="20"/>
        </w:rPr>
        <w:t>guestName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guestEmail</w:t>
      </w:r>
      <w:r>
        <w:rPr>
          <w:rFonts w:ascii="Calibri" w:hAnsi="Calibri" w:cs="Calibri"/>
          <w:b w:val="0"/>
          <w:i w:val="0"/>
          <w:sz w:val="22"/>
        </w:rPr>
        <w:t>. El carrito sigue siendo solo de un usuario logueado; el invitado arma el suyo en el navegador.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Precios congelados.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OrderItem.unitPrice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OrderItemExtra.name</w:t>
      </w:r>
      <w:r>
        <w:rPr>
          <w:rFonts w:ascii="Calibri" w:hAnsi="Calibri" w:cs="Calibri"/>
          <w:b w:val="0"/>
          <w:i w:val="0"/>
          <w:sz w:val="22"/>
        </w:rPr>
        <w:t xml:space="preserve"> / </w:t>
      </w:r>
      <w:r>
        <w:rPr>
          <w:rFonts w:ascii="Consolas" w:hAnsi="Consolas" w:cs="Consolas"/>
          <w:b w:val="0"/>
          <w:i w:val="0"/>
          <w:sz w:val="20"/>
        </w:rPr>
        <w:t>price</w:t>
      </w:r>
      <w:r>
        <w:rPr>
          <w:rFonts w:ascii="Calibri" w:hAnsi="Calibri" w:cs="Calibri"/>
          <w:b w:val="0"/>
          <w:i w:val="0"/>
          <w:sz w:val="22"/>
        </w:rPr>
        <w:t xml:space="preserve"> no se recalculan si después cambia el catálogo.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Adicionales.</w:t>
      </w:r>
      <w:r>
        <w:rPr>
          <w:rFonts w:ascii="Calibri" w:hAnsi="Calibri" w:cs="Calibri"/>
          <w:b w:val="0"/>
          <w:i w:val="0"/>
          <w:sz w:val="22"/>
        </w:rPr>
        <w:t xml:space="preserve"> Un adicional es un </w:t>
      </w:r>
      <w:r>
        <w:rPr>
          <w:rFonts w:ascii="Consolas" w:hAnsi="Consolas" w:cs="Consolas"/>
          <w:b w:val="0"/>
          <w:i w:val="0"/>
          <w:sz w:val="20"/>
        </w:rPr>
        <w:t>Product</w:t>
      </w:r>
      <w:r>
        <w:rPr>
          <w:rFonts w:ascii="Calibri" w:hAnsi="Calibri" w:cs="Calibri"/>
          <w:b w:val="0"/>
          <w:i w:val="0"/>
          <w:sz w:val="22"/>
        </w:rPr>
        <w:t xml:space="preserve"> de la categoría Adicional. </w:t>
      </w:r>
      <w:r>
        <w:rPr>
          <w:rFonts w:ascii="Consolas" w:hAnsi="Consolas" w:cs="Consolas"/>
          <w:b w:val="0"/>
          <w:i w:val="0"/>
          <w:sz w:val="20"/>
        </w:rPr>
        <w:t>CartItem.extrasKey</w:t>
      </w:r>
      <w:r>
        <w:rPr>
          <w:rFonts w:ascii="Calibri" w:hAnsi="Calibri" w:cs="Calibri"/>
          <w:b w:val="0"/>
          <w:i w:val="0"/>
          <w:sz w:val="22"/>
        </w:rPr>
        <w:t xml:space="preserve"> (ids ordenados, vacío si no hay) distingue dos líneas del mismo producto. No hay tabla de “configuraciones”.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Stock.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available</w:t>
      </w:r>
      <w:r>
        <w:rPr>
          <w:rFonts w:ascii="Calibri" w:hAnsi="Calibri" w:cs="Calibri"/>
          <w:b w:val="0"/>
          <w:i w:val="0"/>
          <w:sz w:val="22"/>
        </w:rPr>
        <w:t xml:space="preserve"> es lo que se puede vender. </w:t>
      </w:r>
      <w:r>
        <w:rPr>
          <w:rFonts w:ascii="Consolas" w:hAnsi="Consolas" w:cs="Consolas"/>
          <w:b w:val="0"/>
          <w:i w:val="0"/>
          <w:sz w:val="20"/>
        </w:rPr>
        <w:t>reserved</w:t>
      </w:r>
      <w:r>
        <w:rPr>
          <w:rFonts w:ascii="Calibri" w:hAnsi="Calibri" w:cs="Calibri"/>
          <w:b w:val="0"/>
          <w:i w:val="0"/>
          <w:sz w:val="22"/>
        </w:rPr>
        <w:t xml:space="preserve"> es lo comprometido en pedidos que todavía no se entregaron. </w:t>
      </w:r>
      <w:r>
        <w:rPr>
          <w:rFonts w:ascii="Consolas" w:hAnsi="Consolas" w:cs="Consolas"/>
          <w:b w:val="0"/>
          <w:i w:val="0"/>
          <w:sz w:val="20"/>
        </w:rPr>
        <w:t>Order.stockReserved</w:t>
      </w:r>
      <w:r>
        <w:rPr>
          <w:rFonts w:ascii="Calibri" w:hAnsi="Calibri" w:cs="Calibri"/>
          <w:b w:val="0"/>
          <w:i w:val="0"/>
          <w:sz w:val="22"/>
        </w:rPr>
        <w:t xml:space="preserve"> dice si ese pedido tiene reserva viva. Los pedidos anteriores a esta tabla quedan en </w:t>
      </w:r>
      <w:r>
        <w:rPr>
          <w:rFonts w:ascii="Consolas" w:hAnsi="Consolas" w:cs="Consolas"/>
          <w:b w:val="0"/>
          <w:i w:val="0"/>
          <w:sz w:val="20"/>
        </w:rPr>
        <w:t>false</w:t>
      </w:r>
      <w:r>
        <w:rPr>
          <w:rFonts w:ascii="Calibri" w:hAnsi="Calibri" w:cs="Calibri"/>
          <w:b w:val="0"/>
          <w:i w:val="0"/>
          <w:sz w:val="22"/>
        </w:rPr>
        <w:t xml:space="preserve"> y no mueven stock.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Hora estimada.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Order.estimatedDeliveryAt</w:t>
      </w:r>
      <w:r>
        <w:rPr>
          <w:rFonts w:ascii="Calibri" w:hAnsi="Calibri" w:cs="Calibri"/>
          <w:b w:val="0"/>
          <w:i w:val="0"/>
          <w:sz w:val="22"/>
        </w:rPr>
        <w:t xml:space="preserve"> se escribe al confirmar y no se vuelve a calcular.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Parámetros.</w:t>
      </w:r>
      <w:r>
        <w:rPr>
          <w:rFonts w:ascii="Calibri" w:hAnsi="Calibri" w:cs="Calibri"/>
          <w:b w:val="0"/>
          <w:i w:val="0"/>
          <w:sz w:val="22"/>
        </w:rPr>
        <w:t xml:space="preserve"> Claves: </w:t>
      </w:r>
      <w:r>
        <w:rPr>
          <w:rFonts w:ascii="Consolas" w:hAnsi="Consolas" w:cs="Consolas"/>
          <w:b w:val="0"/>
          <w:i w:val="0"/>
          <w:sz w:val="20"/>
        </w:rPr>
        <w:t>coverage_radius_km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eta_prep_base_min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eta_min_per_item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eta_km_per_min</w:t>
      </w:r>
      <w:r>
        <w:rPr>
          <w:rFonts w:ascii="Calibri" w:hAnsi="Calibri" w:cs="Calibri"/>
          <w:b w:val="0"/>
          <w:i w:val="0"/>
          <w:sz w:val="22"/>
        </w:rPr>
        <w:t>. El valor es texto y la API lo interpreta como número.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Recuperar contraseña.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PasswordResetToken</w:t>
      </w:r>
      <w:r>
        <w:rPr>
          <w:rFonts w:ascii="Calibri" w:hAnsi="Calibri" w:cs="Calibri"/>
          <w:b w:val="0"/>
          <w:i w:val="0"/>
          <w:sz w:val="22"/>
        </w:rPr>
        <w:t xml:space="preserve"> guarda el hash del token, no el token. </w:t>
      </w:r>
      <w:r>
        <w:rPr>
          <w:rFonts w:ascii="Consolas" w:hAnsi="Consolas" w:cs="Consolas"/>
          <w:b w:val="0"/>
          <w:i w:val="0"/>
          <w:sz w:val="20"/>
        </w:rPr>
        <w:t>usedAt</w:t>
      </w:r>
      <w:r>
        <w:rPr>
          <w:rFonts w:ascii="Calibri" w:hAnsi="Calibri" w:cs="Calibri"/>
          <w:b w:val="0"/>
          <w:i w:val="0"/>
          <w:sz w:val="22"/>
        </w:rPr>
        <w:t xml:space="preserve"> nulo significa que todavía no se usó.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Dirección.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alias</w:t>
      </w:r>
      <w:r>
        <w:rPr>
          <w:rFonts w:ascii="Calibri" w:hAnsi="Calibri" w:cs="Calibri"/>
          <w:b w:val="0"/>
          <w:i w:val="0"/>
          <w:sz w:val="22"/>
        </w:rPr>
        <w:t xml:space="preserve"> es el nombre corto (“Casa”, “Trabajo”). Puede ir vacío.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Qué no está en el modelo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Promoción, descuento del pedido, cupón y cualquier tabla de reportes. El Sprint 4 va a sumar, como mínimo, la promoción y en el pedido el subtotal, el descuento y la promo aplicada. Hasta entonces </w:t>
      </w:r>
      <w:r>
        <w:rPr>
          <w:rFonts w:ascii="Consolas" w:hAnsi="Consolas" w:cs="Consolas"/>
          <w:b w:val="0"/>
          <w:i w:val="0"/>
          <w:sz w:val="20"/>
        </w:rPr>
        <w:t>totalAmount</w:t>
      </w:r>
      <w:r>
        <w:rPr>
          <w:rFonts w:ascii="Calibri" w:hAnsi="Calibri" w:cs="Calibri"/>
          <w:b w:val="0"/>
          <w:i w:val="0"/>
          <w:sz w:val="22"/>
        </w:rPr>
        <w:t xml:space="preserve"> es el importe cobrado, sin descuento.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14"/>
        <w:gridCol w:w="814"/>
        <w:gridCol w:w="8463"/>
      </w:tblGrid>
      <w:tr>
        <w:trPr>
          <w:tblHeader/>
        </w:trPr>
        <w:tc>
          <w:tcPr>
            <w:tcW w:type="dxa" w:w="81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81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846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81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81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84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Modelo de carpeta al cierre del Sprint 3: stock, parámetros, token de reset, historial de estados, hora estimada y alias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Modelo de datos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</dc:title>
  <dc:subject>Carpeta de entregables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